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2D6E" w14:textId="77777777" w:rsidR="00180A71" w:rsidRPr="002614E5" w:rsidRDefault="00180A71" w:rsidP="002614E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14E5">
        <w:rPr>
          <w:rFonts w:ascii="Arial" w:hAnsi="Arial" w:cs="Arial"/>
          <w:b/>
          <w:bCs/>
          <w:sz w:val="24"/>
          <w:szCs w:val="24"/>
        </w:rPr>
        <w:t xml:space="preserve">Strategic Plan </w:t>
      </w:r>
    </w:p>
    <w:p w14:paraId="494A872A" w14:textId="77B7B1E5" w:rsidR="00180A71" w:rsidRPr="002614E5" w:rsidRDefault="00180A71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 xml:space="preserve">The strategic planning process for </w:t>
      </w:r>
      <w:r w:rsidR="00E61531" w:rsidRPr="002614E5">
        <w:rPr>
          <w:rFonts w:ascii="Arial" w:hAnsi="Arial" w:cs="Arial"/>
          <w:sz w:val="24"/>
          <w:szCs w:val="24"/>
        </w:rPr>
        <w:t>Bicycle Newfoundland and Labrador (</w:t>
      </w:r>
      <w:r w:rsidRPr="002614E5">
        <w:rPr>
          <w:rFonts w:ascii="Arial" w:hAnsi="Arial" w:cs="Arial"/>
          <w:sz w:val="24"/>
          <w:szCs w:val="24"/>
        </w:rPr>
        <w:t>BNL</w:t>
      </w:r>
      <w:r w:rsidR="00E61531" w:rsidRPr="002614E5">
        <w:rPr>
          <w:rFonts w:ascii="Arial" w:hAnsi="Arial" w:cs="Arial"/>
          <w:sz w:val="24"/>
          <w:szCs w:val="24"/>
        </w:rPr>
        <w:t>)</w:t>
      </w:r>
      <w:r w:rsidRPr="002614E5">
        <w:rPr>
          <w:rFonts w:ascii="Arial" w:hAnsi="Arial" w:cs="Arial"/>
          <w:sz w:val="24"/>
          <w:szCs w:val="24"/>
        </w:rPr>
        <w:t xml:space="preserve"> began in 2021, engaging board members and regional representatives throughout the province. </w:t>
      </w:r>
    </w:p>
    <w:p w14:paraId="486474DD" w14:textId="3B303B9B" w:rsidR="00180A71" w:rsidRPr="002614E5" w:rsidRDefault="00180A71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The resulting strategic plan includes a vision and mission statement, a mandate and strategic directions for the organization</w:t>
      </w:r>
      <w:r w:rsidR="00E56EF0" w:rsidRPr="002614E5">
        <w:rPr>
          <w:rFonts w:ascii="Arial" w:hAnsi="Arial" w:cs="Arial"/>
          <w:sz w:val="24"/>
          <w:szCs w:val="24"/>
        </w:rPr>
        <w:t xml:space="preserve"> </w:t>
      </w:r>
      <w:r w:rsidRPr="002614E5">
        <w:rPr>
          <w:rFonts w:ascii="Arial" w:hAnsi="Arial" w:cs="Arial"/>
          <w:sz w:val="24"/>
          <w:szCs w:val="24"/>
        </w:rPr>
        <w:t>and spans a time horizon, from 2022-2026.</w:t>
      </w:r>
      <w:r w:rsidR="00A31BA9" w:rsidRPr="002614E5">
        <w:rPr>
          <w:rFonts w:ascii="Arial" w:hAnsi="Arial" w:cs="Arial"/>
          <w:sz w:val="24"/>
          <w:szCs w:val="24"/>
        </w:rPr>
        <w:t xml:space="preserve"> </w:t>
      </w:r>
      <w:r w:rsidR="000231AA" w:rsidRPr="002614E5">
        <w:rPr>
          <w:rFonts w:ascii="Arial" w:hAnsi="Arial" w:cs="Arial"/>
          <w:sz w:val="24"/>
          <w:szCs w:val="24"/>
        </w:rPr>
        <w:t xml:space="preserve"> </w:t>
      </w:r>
      <w:r w:rsidRPr="002614E5">
        <w:rPr>
          <w:rFonts w:ascii="Arial" w:hAnsi="Arial" w:cs="Arial"/>
          <w:sz w:val="24"/>
          <w:szCs w:val="24"/>
        </w:rPr>
        <w:t>BNL has embraced the following five major strategic directions:</w:t>
      </w:r>
    </w:p>
    <w:p w14:paraId="50E4136F" w14:textId="77777777" w:rsidR="00180A71" w:rsidRPr="002614E5" w:rsidRDefault="00180A71" w:rsidP="002614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Governance and Operations</w:t>
      </w:r>
    </w:p>
    <w:p w14:paraId="58CA584C" w14:textId="77777777" w:rsidR="00180A71" w:rsidRPr="002614E5" w:rsidRDefault="00180A71" w:rsidP="002614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Long Term Athlete Development</w:t>
      </w:r>
    </w:p>
    <w:p w14:paraId="65AA46AE" w14:textId="77777777" w:rsidR="00180A71" w:rsidRPr="002614E5" w:rsidRDefault="00180A71" w:rsidP="002614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Events</w:t>
      </w:r>
    </w:p>
    <w:p w14:paraId="506670B4" w14:textId="77777777" w:rsidR="00180A71" w:rsidRPr="002614E5" w:rsidRDefault="00180A71" w:rsidP="002614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Advocacy</w:t>
      </w:r>
    </w:p>
    <w:p w14:paraId="04FE8E06" w14:textId="77777777" w:rsidR="00180A71" w:rsidRPr="002614E5" w:rsidRDefault="00180A71" w:rsidP="002614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Marketing and Communications</w:t>
      </w:r>
    </w:p>
    <w:p w14:paraId="7229EF38" w14:textId="77777777" w:rsidR="002614E5" w:rsidRPr="002614E5" w:rsidRDefault="002614E5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88D40C3" w14:textId="6F7EE527" w:rsidR="002269BD" w:rsidRPr="002614E5" w:rsidRDefault="002269BD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614E5">
        <w:rPr>
          <w:rFonts w:ascii="Arial" w:hAnsi="Arial" w:cs="Arial"/>
          <w:sz w:val="24"/>
          <w:szCs w:val="24"/>
        </w:rPr>
        <w:t>Each of these directions includes associated objectives, actions and timelines. Together, we can become even stronger and more effective.</w:t>
      </w:r>
      <w:r w:rsidR="000231AA" w:rsidRPr="002614E5">
        <w:rPr>
          <w:rFonts w:ascii="Arial" w:hAnsi="Arial" w:cs="Arial"/>
          <w:sz w:val="24"/>
          <w:szCs w:val="24"/>
        </w:rPr>
        <w:t xml:space="preserve"> </w:t>
      </w:r>
      <w:r w:rsidR="00A57D40" w:rsidRPr="002614E5">
        <w:rPr>
          <w:rFonts w:ascii="Arial" w:hAnsi="Arial" w:cs="Arial"/>
          <w:sz w:val="24"/>
          <w:szCs w:val="24"/>
        </w:rPr>
        <w:t xml:space="preserve"> For more details</w:t>
      </w:r>
      <w:r w:rsidR="002033EA" w:rsidRPr="002614E5">
        <w:rPr>
          <w:rFonts w:ascii="Arial" w:hAnsi="Arial" w:cs="Arial"/>
          <w:sz w:val="24"/>
          <w:szCs w:val="24"/>
        </w:rPr>
        <w:t>,</w:t>
      </w:r>
      <w:r w:rsidR="00A57D40" w:rsidRPr="002614E5">
        <w:rPr>
          <w:rFonts w:ascii="Arial" w:hAnsi="Arial" w:cs="Arial"/>
          <w:sz w:val="24"/>
          <w:szCs w:val="24"/>
        </w:rPr>
        <w:t xml:space="preserve"> please see the link below. </w:t>
      </w:r>
    </w:p>
    <w:p w14:paraId="081907DE" w14:textId="77777777" w:rsidR="002614E5" w:rsidRPr="002614E5" w:rsidRDefault="002614E5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27FFCD" w14:textId="4523CE05" w:rsidR="002269BD" w:rsidRPr="002614E5" w:rsidRDefault="00A57D40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5" w:history="1">
        <w:r w:rsidRPr="002614E5">
          <w:rPr>
            <w:rStyle w:val="Hyperlink"/>
            <w:rFonts w:ascii="Arial" w:hAnsi="Arial" w:cs="Arial"/>
            <w:b/>
            <w:bCs/>
            <w:sz w:val="24"/>
            <w:szCs w:val="24"/>
          </w:rPr>
          <w:t>2022-2026 Strategic Plan</w:t>
        </w:r>
      </w:hyperlink>
    </w:p>
    <w:p w14:paraId="42904483" w14:textId="77777777" w:rsidR="00A57D40" w:rsidRPr="002614E5" w:rsidRDefault="00A57D40" w:rsidP="002614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A57D40" w:rsidRPr="00261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F21"/>
    <w:multiLevelType w:val="multilevel"/>
    <w:tmpl w:val="72D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49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71"/>
    <w:rsid w:val="000231AA"/>
    <w:rsid w:val="00180A71"/>
    <w:rsid w:val="002033EA"/>
    <w:rsid w:val="002269BD"/>
    <w:rsid w:val="002614E5"/>
    <w:rsid w:val="003272C4"/>
    <w:rsid w:val="004511E0"/>
    <w:rsid w:val="00502A34"/>
    <w:rsid w:val="00672131"/>
    <w:rsid w:val="00697C0A"/>
    <w:rsid w:val="00A31BA9"/>
    <w:rsid w:val="00A57D40"/>
    <w:rsid w:val="00AF13BE"/>
    <w:rsid w:val="00BF3413"/>
    <w:rsid w:val="00C46FD2"/>
    <w:rsid w:val="00CC617E"/>
    <w:rsid w:val="00E56EF0"/>
    <w:rsid w:val="00E6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D606"/>
  <w15:chartTrackingRefBased/>
  <w15:docId w15:val="{0761FDAA-4D07-4C69-84B6-748ACF50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A71"/>
  </w:style>
  <w:style w:type="paragraph" w:styleId="Heading1">
    <w:name w:val="heading 1"/>
    <w:basedOn w:val="Normal"/>
    <w:next w:val="Normal"/>
    <w:link w:val="Heading1Char"/>
    <w:uiPriority w:val="9"/>
    <w:qFormat/>
    <w:rsid w:val="0018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D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33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cyclenl.com/wp-content/uploads/STRATEGIC-PLAN-2022-2026-Ratified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708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4</cp:revision>
  <dcterms:created xsi:type="dcterms:W3CDTF">2026-03-05T12:47:00Z</dcterms:created>
  <dcterms:modified xsi:type="dcterms:W3CDTF">2026-03-12T15:53:00Z</dcterms:modified>
</cp:coreProperties>
</file>