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122E3" w14:textId="77777777" w:rsidR="0039721F" w:rsidRDefault="00000000">
      <w:pPr>
        <w:pStyle w:val="Title"/>
      </w:pPr>
      <w:r>
        <w:t>UrbanAir Intel</w:t>
      </w:r>
    </w:p>
    <w:p w14:paraId="06341D55" w14:textId="77777777" w:rsidR="0039721F" w:rsidRDefault="00000000">
      <w:pPr>
        <w:pStyle w:val="Heading1"/>
      </w:pPr>
      <w:r>
        <w:t>AI-Powered Urban Air Quality Intelligence Platform for Smart City Intervention</w:t>
      </w:r>
    </w:p>
    <w:p w14:paraId="18560891" w14:textId="77777777" w:rsidR="0039721F" w:rsidRDefault="00000000">
      <w:pPr>
        <w:rPr>
          <w:i/>
          <w:color w:val="595959"/>
        </w:rPr>
      </w:pPr>
      <w:r>
        <w:rPr>
          <w:b/>
          <w:i/>
          <w:color w:val="595959"/>
        </w:rPr>
        <w:t>Hackathon submission document</w:t>
      </w:r>
      <w:r>
        <w:rPr>
          <w:i/>
          <w:color w:val="595959"/>
        </w:rPr>
        <w:t xml:space="preserve"> · ET AI Hackathon 2.0 (Unstop)</w:t>
      </w:r>
    </w:p>
    <w:p w14:paraId="37936F7A" w14:textId="77777777" w:rsidR="0039721F" w:rsidRDefault="00000000">
      <w:pPr>
        <w:rPr>
          <w:i/>
          <w:color w:val="595959"/>
        </w:rPr>
      </w:pPr>
      <w:r>
        <w:rPr>
          <w:i/>
          <w:color w:val="595959"/>
        </w:rPr>
        <w:t>Theme: Smart Cities / Environmental Intelligence / Geospatial Analytics / Public Health</w:t>
      </w:r>
    </w:p>
    <w:p w14:paraId="2E287C21" w14:textId="2F717A42" w:rsidR="0039721F" w:rsidRDefault="00000000">
      <w:pPr>
        <w:rPr>
          <w:i/>
          <w:color w:val="595959"/>
        </w:rPr>
      </w:pPr>
      <w:r>
        <w:rPr>
          <w:i/>
          <w:color w:val="595959"/>
        </w:rPr>
        <w:t xml:space="preserve">Prepared: 22 July 2026 · Primary demo city: Delhi NCR · Repository: </w:t>
      </w:r>
      <w:hyperlink r:id="rId6" w:history="1">
        <w:r w:rsidRPr="007004A9">
          <w:rPr>
            <w:rStyle w:val="Hyperlink"/>
            <w:rFonts w:ascii="Consolas" w:hAnsi="Consolas"/>
            <w:i/>
          </w:rPr>
          <w:t>madhav-gfn/ETA</w:t>
        </w:r>
      </w:hyperlink>
      <w:r w:rsidR="007004A9">
        <w:rPr>
          <w:rFonts w:ascii="Consolas" w:hAnsi="Consolas"/>
          <w:i/>
          <w:color w:val="8A2B2B"/>
        </w:rPr>
        <w:t xml:space="preserve"> </w:t>
      </w:r>
      <w:r w:rsidR="007004A9">
        <w:rPr>
          <w:i/>
          <w:color w:val="595959"/>
        </w:rPr>
        <w:t xml:space="preserve">· </w:t>
      </w:r>
      <w:r w:rsidR="007004A9" w:rsidRPr="007004A9">
        <w:rPr>
          <w:rFonts w:ascii="Consolas" w:hAnsi="Consolas"/>
          <w:i/>
          <w:color w:val="808080" w:themeColor="background1" w:themeShade="80"/>
        </w:rPr>
        <w:t>Deployment</w:t>
      </w:r>
      <w:r w:rsidR="007004A9">
        <w:rPr>
          <w:rFonts w:ascii="Consolas" w:hAnsi="Consolas"/>
          <w:i/>
          <w:color w:val="808080" w:themeColor="background1" w:themeShade="80"/>
        </w:rPr>
        <w:t>:</w:t>
      </w:r>
      <w:r w:rsidR="007004A9" w:rsidRPr="007004A9">
        <w:rPr>
          <w:i/>
          <w:color w:val="595959"/>
        </w:rPr>
        <w:t xml:space="preserve"> </w:t>
      </w:r>
      <w:hyperlink r:id="rId7" w:history="1">
        <w:r w:rsidR="007004A9" w:rsidRPr="007004A9">
          <w:rPr>
            <w:rStyle w:val="Hyperlink"/>
            <w:i/>
          </w:rPr>
          <w:t>https://eta-liard-nine.vercel.app/</w:t>
        </w:r>
      </w:hyperlink>
    </w:p>
    <w:p w14:paraId="622ECB8A" w14:textId="512C386B" w:rsidR="0039721F" w:rsidRDefault="00000000">
      <w:pPr>
        <w:rPr>
          <w:i/>
          <w:color w:val="595959"/>
        </w:rPr>
      </w:pPr>
      <w:r>
        <w:rPr>
          <w:i/>
          <w:color w:val="595959"/>
        </w:rPr>
        <w:t>Team:</w:t>
      </w:r>
      <w:r w:rsidR="00477FDF">
        <w:rPr>
          <w:i/>
          <w:color w:val="595959"/>
        </w:rPr>
        <w:t xml:space="preserve"> </w:t>
      </w:r>
      <w:proofErr w:type="spellStart"/>
      <w:r w:rsidR="00477FDF">
        <w:rPr>
          <w:i/>
          <w:color w:val="595959"/>
        </w:rPr>
        <w:t>Slashedots</w:t>
      </w:r>
      <w:proofErr w:type="spellEnd"/>
      <w:r w:rsidR="00477FDF" w:rsidRPr="00477FDF">
        <w:rPr>
          <w:i/>
          <w:color w:val="595959"/>
        </w:rPr>
        <w:sym w:font="Wingdings" w:char="F0E8"/>
      </w:r>
      <w:r>
        <w:rPr>
          <w:i/>
          <w:color w:val="595959"/>
        </w:rPr>
        <w:t xml:space="preserve"> Madhav, Varun, Adamya, Prakhar</w:t>
      </w:r>
    </w:p>
    <w:p w14:paraId="384346E6" w14:textId="77777777" w:rsidR="0039721F" w:rsidRDefault="00000000">
      <w:pPr>
        <w:pStyle w:val="Heading1"/>
      </w:pPr>
      <w:r>
        <w:t>1. Executive Summary</w:t>
      </w:r>
    </w:p>
    <w:p w14:paraId="0803B043" w14:textId="77777777" w:rsidR="0039721F" w:rsidRDefault="00000000">
      <w:r>
        <w:t>UrbanAir Intel is a working, end-to-end AI platform that fuses ground sensor networks, satellite catalogs, fire-detection feeds, land-use vectors, and meteorological data into a live 1&amp;nbsp;km gridded digital twin of a city's airshed, then layers three intelligence capabilities on top of that twin: hyperlocal PM2.5 forecasting that is evaluated against — and currently beats — a persistence baseline at both 1‑hour and 24‑hour horizons; LLM‑assisted pollution source attribution with quantified confidence and inspectable evidence; and agent‑generated, evidence‑backed enforcement patrol routes. A bilingual‑plus citizen advisory layer turns the same gridded state into plain‑language health guidance in six Indian languages.</w:t>
      </w:r>
    </w:p>
    <w:p w14:paraId="108DB17E" w14:textId="77777777" w:rsidR="0039721F" w:rsidRDefault="00000000">
      <w:r>
        <w:t xml:space="preserve">The platform is not a slide deck. It is a running FastAPI backend with five live ingestion pipelines, a PostGIS‑backed 2,805‑cell grid over Delhi NCR, a trained ConvLSTM checkpoint whose held‑out RMSE is published at </w:t>
      </w:r>
      <w:r>
        <w:rPr>
          <w:rFonts w:ascii="Consolas" w:hAnsi="Consolas"/>
          <w:color w:val="8A2B2B"/>
          <w:sz w:val="19"/>
        </w:rPr>
        <w:t>/forecast/metrics</w:t>
      </w:r>
      <w:r>
        <w:t xml:space="preserve">, a LangGraph three‑agent state machine with persisted run history and a dispatch lifecycle (new → dispatched → inspected → closed), and an 8‑page Next.js dashboard consuming all of it. Every ingestion boundary, every interpolation routine, and every agent transition is covered by an automated test suite (59 tests) that runs without any external API key. Everything is keyed by </w:t>
      </w:r>
      <w:r>
        <w:rPr>
          <w:rFonts w:ascii="Consolas" w:hAnsi="Consolas"/>
          <w:color w:val="8A2B2B"/>
          <w:sz w:val="19"/>
        </w:rPr>
        <w:t>city_slug</w:t>
      </w:r>
      <w:r>
        <w:t>, so a second city (Mumbai is already registered) is a bounding‑box entry and a training run — not a redesign.</w:t>
      </w:r>
    </w:p>
    <w:p w14:paraId="26DED643" w14:textId="77777777" w:rsidR="0039721F" w:rsidRDefault="00000000">
      <w:r>
        <w:t xml:space="preserve">The thesis the platform argues, in the problem brief's own words: </w:t>
      </w:r>
      <w:r>
        <w:rPr>
          <w:b/>
        </w:rPr>
        <w:t>the data exists; the intelligence layer to act on it does not.</w:t>
      </w:r>
      <w:r>
        <w:t xml:space="preserve"> UrbanAir Intel is that intelligence layer.</w:t>
      </w:r>
    </w:p>
    <w:p w14:paraId="4DCE979D" w14:textId="77777777" w:rsidR="0039721F" w:rsidRDefault="00000000">
      <w:pPr>
        <w:pStyle w:val="Heading1"/>
      </w:pPr>
      <w:r>
        <w:t>2. Problem Statement</w:t>
      </w:r>
    </w:p>
    <w:p w14:paraId="099B429F" w14:textId="77777777" w:rsidR="0039721F" w:rsidRDefault="00000000">
      <w:r>
        <w:t>India's air quality crisis is a national urban emergency, not a Delhi‑specific one. In 2024–25 Delhi averaged an AQI of 218 ("Poor" or worse for 200+ days); Mumbai recorded dangerous AQI on 60+ days in 2024; Kolkata averaged AQI above 150 through winter; Bengaluru and Chennai are visibly deteriorating as vehicle density and construction surge. CPCB's 2024 National Air Quality data places 24 of India's 50 most polluted cities in Tier‑1/Tier‑2 urban centres. The Lancet Planetary Health journal attributes 1.67 million premature deaths a year in India to air pollution, a burden concentrated in cities.</w:t>
      </w:r>
    </w:p>
    <w:p w14:paraId="24578669" w14:textId="77777777" w:rsidR="0039721F" w:rsidRDefault="00000000">
      <w:r>
        <w:t>India has deployed 900+ Continuous Ambient Air Quality Monitoring Stations (CAAQMS) under the National Clean Air Programme (NCAP) — yet a 2024 CAG audit found only 31% of cities with monitoring data have any actionable, multi‑agency response protocol tied to those readings. Monitoring infrastructure has outpaced the intelligence layer that would turn a reading into an intervention. City administrations need three things simultaneously — geospatial attribution (which source, at this location, right now), predictive forecasting (what AQI will be in 24 hours at ward/grid level), and enforcement intelligence (where to send inspectors for maximum effect) — and no existing system combines all three (see Section 5).</w:t>
      </w:r>
    </w:p>
    <w:p w14:paraId="4CCC29E8" w14:textId="77777777" w:rsidR="0039721F" w:rsidRDefault="00000000">
      <w:r>
        <w:rPr>
          <w:b/>
        </w:rPr>
        <w:lastRenderedPageBreak/>
        <w:t>Challenge, as posed:</w:t>
      </w:r>
      <w:r>
        <w:t xml:space="preserve"> build an AI‑powered Urban Air Quality Intelligence platform that fuses monitoring‑station data, satellite imagery, mobility feeds, meteorological forecasts, and geospatial land‑use layers to move city administrations from reactive monitoring to proactive, evidence‑based intervention.</w:t>
      </w:r>
    </w:p>
    <w:p w14:paraId="4F709939" w14:textId="77777777" w:rsidR="0039721F" w:rsidRDefault="00000000">
      <w:r>
        <w:rPr>
          <w:b/>
        </w:rPr>
        <w:t>Judging weights</w:t>
      </w:r>
      <w:r>
        <w:t xml:space="preserve"> (as issued): Innovation 25%, Business Impact 25%, Technical Excellence 20%, Scalability 15%, User Experience 15%. Section 32 maps each judging criterion to the concrete artifact in this platform that answers it.</w:t>
      </w:r>
    </w:p>
    <w:p w14:paraId="2DB307C9" w14:textId="77777777" w:rsidR="0039721F" w:rsidRDefault="00000000">
      <w:pPr>
        <w:pStyle w:val="Heading1"/>
      </w:pPr>
      <w:r>
        <w:t>3. Background and Motivation</w:t>
      </w:r>
    </w:p>
    <w:p w14:paraId="483E68F6" w14:textId="77777777" w:rsidR="0039721F" w:rsidRDefault="00000000">
      <w:r>
        <w:t>Air quality management in Indian cities today is largely a *reporting* discipline: CAAQMS stations publish an index, citizens check an app, and pollution control boards issue advisories after the fact — the Graded Response Action Plan (GRAP) in Delhi NCR being the most visible example of a system that reacts to a threshold being crossed rather than anticipating it. Three structural gaps motivate this project:</w:t>
      </w:r>
    </w:p>
    <w:p w14:paraId="1D4D6F06" w14:textId="77777777" w:rsidR="0039721F" w:rsidRDefault="00000000">
      <w:pPr>
        <w:pStyle w:val="ListNumber"/>
      </w:pPr>
      <w:r>
        <w:rPr>
          <w:b/>
        </w:rPr>
        <w:t>Sparse ground truth, dense decision surface.</w:t>
      </w:r>
      <w:r>
        <w:t xml:space="preserve"> A metro the size of Delhi NCR has on the order of dozens of CAAQMS stations but needs ward‑level (roughly 1 km) resolution to make siting and dispatch decisions. The gap between sensor density and decision granularity has to be closed statistically (interpolation) and eventually with satellite/land‑use context, not by installing an infeasible number of new stations.</w:t>
      </w:r>
    </w:p>
    <w:p w14:paraId="3EA901DC" w14:textId="77777777" w:rsidR="0039721F" w:rsidRDefault="00000000">
      <w:pPr>
        <w:pStyle w:val="ListNumber"/>
      </w:pPr>
      <w:r>
        <w:rPr>
          <w:b/>
        </w:rPr>
        <w:t>Attribution is manual and slow.</w:t>
      </w:r>
      <w:r>
        <w:t xml:space="preserve"> When an anomaly is flagged, tracing it to biomass burning, an industrial cluster, or vehicular congestion today depends on manual cross‑referencing of fire maps, land‑use records, and wind data by an analyst — the CAG audit's "31% have actionable protocols" finding is a direct symptom of this bottleneck.</w:t>
      </w:r>
    </w:p>
    <w:p w14:paraId="74B9361A" w14:textId="77777777" w:rsidR="0039721F" w:rsidRDefault="00000000">
      <w:pPr>
        <w:pStyle w:val="ListNumber"/>
      </w:pPr>
      <w:r>
        <w:rPr>
          <w:b/>
        </w:rPr>
        <w:t>Enforcement has no prioritisation logic.</w:t>
      </w:r>
      <w:r>
        <w:t xml:space="preserve"> Even where inspection capacity exists, there is no systematic way to rank which pollution hotspot is worth an inspector's next hour, weighted by population exposure rather than raw pollutant magnitude alone.</w:t>
      </w:r>
    </w:p>
    <w:p w14:paraId="005D73D8" w14:textId="77777777" w:rsidR="0039721F" w:rsidRDefault="00000000">
      <w:r>
        <w:t>UrbanAir Intel's motivation is to close all three gaps with the same underlying spatial index, so that a forecast, an attribution, and a dispatch decision are three views of one coherent state rather than three disconnected tools.</w:t>
      </w:r>
    </w:p>
    <w:p w14:paraId="1C31C444" w14:textId="77777777" w:rsidR="0039721F" w:rsidRDefault="00000000">
      <w:pPr>
        <w:pStyle w:val="Heading1"/>
      </w:pPr>
      <w:r>
        <w:t>4. Literature Review</w:t>
      </w:r>
    </w:p>
    <w:p w14:paraId="3C433148" w14:textId="77777777" w:rsidR="0039721F" w:rsidRDefault="00000000">
      <w:r>
        <w:t>The design draws on both peer‑reviewed methodology and the mission documentation of the satellite/sensor programs it ingests from:</w:t>
      </w:r>
    </w:p>
    <w:tbl>
      <w:tblPr>
        <w:tblStyle w:val="TableGrid"/>
        <w:tblW w:w="0" w:type="auto"/>
        <w:jc w:val="center"/>
        <w:tblLook w:val="04A0" w:firstRow="1" w:lastRow="0" w:firstColumn="1" w:lastColumn="0" w:noHBand="0" w:noVBand="1"/>
      </w:tblPr>
      <w:tblGrid>
        <w:gridCol w:w="4824"/>
        <w:gridCol w:w="4824"/>
      </w:tblGrid>
      <w:tr w:rsidR="0039721F" w14:paraId="09F70370" w14:textId="77777777">
        <w:trPr>
          <w:jc w:val="center"/>
        </w:trPr>
        <w:tc>
          <w:tcPr>
            <w:tcW w:w="4824" w:type="dxa"/>
            <w:shd w:val="clear" w:color="auto" w:fill="E4DEFF"/>
          </w:tcPr>
          <w:p w14:paraId="78C67171" w14:textId="77777777" w:rsidR="0039721F" w:rsidRDefault="00000000">
            <w:pPr>
              <w:spacing w:after="40"/>
            </w:pPr>
            <w:r>
              <w:rPr>
                <w:b/>
                <w:sz w:val="18"/>
              </w:rPr>
              <w:t>Reference</w:t>
            </w:r>
          </w:p>
        </w:tc>
        <w:tc>
          <w:tcPr>
            <w:tcW w:w="4824" w:type="dxa"/>
            <w:shd w:val="clear" w:color="auto" w:fill="E4DEFF"/>
          </w:tcPr>
          <w:p w14:paraId="6FFAF788" w14:textId="77777777" w:rsidR="0039721F" w:rsidRDefault="00000000">
            <w:pPr>
              <w:spacing w:after="40"/>
            </w:pPr>
            <w:r>
              <w:rPr>
                <w:b/>
                <w:sz w:val="18"/>
              </w:rPr>
              <w:t>Contribution to this design</w:t>
            </w:r>
          </w:p>
        </w:tc>
      </w:tr>
      <w:tr w:rsidR="0039721F" w14:paraId="150BD069" w14:textId="77777777">
        <w:trPr>
          <w:jc w:val="center"/>
        </w:trPr>
        <w:tc>
          <w:tcPr>
            <w:tcW w:w="4824" w:type="dxa"/>
          </w:tcPr>
          <w:p w14:paraId="644B89DF" w14:textId="77777777" w:rsidR="0039721F" w:rsidRDefault="00000000">
            <w:pPr>
              <w:spacing w:after="40"/>
            </w:pPr>
            <w:r>
              <w:rPr>
                <w:sz w:val="18"/>
              </w:rPr>
              <w:t>Shi et al., *"Convolutional LSTM Network: A Machine Learning Approach for Precipitation Nowcasting,"* NeurIPS 2015</w:t>
            </w:r>
          </w:p>
        </w:tc>
        <w:tc>
          <w:tcPr>
            <w:tcW w:w="4824" w:type="dxa"/>
          </w:tcPr>
          <w:p w14:paraId="40F513F7" w14:textId="77777777" w:rsidR="0039721F" w:rsidRDefault="00000000">
            <w:pPr>
              <w:spacing w:after="40"/>
            </w:pPr>
            <w:r>
              <w:rPr>
                <w:sz w:val="18"/>
              </w:rPr>
              <w:t>Origin of the ConvLSTM cell — convolutional gates over a spatial state instead of fully‑connected LSTM gates. This is the architecture family the forecasting engine (Section 19) is built on: feature cubes are treated as video frames, exactly as this paper originally framed precipitation radar frames.</w:t>
            </w:r>
          </w:p>
        </w:tc>
      </w:tr>
      <w:tr w:rsidR="0039721F" w14:paraId="5669A27D" w14:textId="77777777">
        <w:trPr>
          <w:jc w:val="center"/>
        </w:trPr>
        <w:tc>
          <w:tcPr>
            <w:tcW w:w="4824" w:type="dxa"/>
          </w:tcPr>
          <w:p w14:paraId="01471248" w14:textId="77777777" w:rsidR="0039721F" w:rsidRDefault="00000000">
            <w:pPr>
              <w:spacing w:after="40"/>
            </w:pPr>
            <w:r>
              <w:rPr>
                <w:sz w:val="18"/>
              </w:rPr>
              <w:t>Shepard, D., *"A two-dimensional interpolation function for irregularly-spaced data,"* ACM 1968</w:t>
            </w:r>
          </w:p>
        </w:tc>
        <w:tc>
          <w:tcPr>
            <w:tcW w:w="4824" w:type="dxa"/>
          </w:tcPr>
          <w:p w14:paraId="1E95083C" w14:textId="77777777" w:rsidR="0039721F" w:rsidRDefault="00000000">
            <w:pPr>
              <w:spacing w:after="40"/>
            </w:pPr>
            <w:r>
              <w:rPr>
                <w:sz w:val="18"/>
              </w:rPr>
              <w:t>The Inverse Distance Weighting formulation used to project irregular CAAQMS station readings onto the 1&amp;nbsp;km grid (Section 16).</w:t>
            </w:r>
          </w:p>
        </w:tc>
      </w:tr>
      <w:tr w:rsidR="0039721F" w14:paraId="5792610F" w14:textId="77777777">
        <w:trPr>
          <w:jc w:val="center"/>
        </w:trPr>
        <w:tc>
          <w:tcPr>
            <w:tcW w:w="4824" w:type="dxa"/>
          </w:tcPr>
          <w:p w14:paraId="2D8B7FB3" w14:textId="77777777" w:rsidR="0039721F" w:rsidRDefault="00000000">
            <w:pPr>
              <w:spacing w:after="40"/>
            </w:pPr>
            <w:r>
              <w:rPr>
                <w:sz w:val="18"/>
              </w:rPr>
              <w:t>Domain‑knowledge‑enhanced spatio‑temporal GNNs for PM2.5 forecasting (the *PM2.5‑GNN* open‑source line of work)</w:t>
            </w:r>
          </w:p>
        </w:tc>
        <w:tc>
          <w:tcPr>
            <w:tcW w:w="4824" w:type="dxa"/>
          </w:tcPr>
          <w:p w14:paraId="5BAEAF92" w14:textId="77777777" w:rsidR="0039721F" w:rsidRDefault="00000000">
            <w:pPr>
              <w:spacing w:after="40"/>
            </w:pPr>
            <w:r>
              <w:rPr>
                <w:sz w:val="18"/>
              </w:rPr>
              <w:t>Reference architecture for treating sensor/grid nodes as a graph with meteorologically‑informed edges; evaluated as an alternative to ConvLSTM and documented as a scalability upgrade path once a second city's graph topology exists (Section 38).</w:t>
            </w:r>
          </w:p>
        </w:tc>
      </w:tr>
      <w:tr w:rsidR="0039721F" w14:paraId="61A3BCE7" w14:textId="77777777">
        <w:trPr>
          <w:jc w:val="center"/>
        </w:trPr>
        <w:tc>
          <w:tcPr>
            <w:tcW w:w="4824" w:type="dxa"/>
          </w:tcPr>
          <w:p w14:paraId="25A2614E" w14:textId="77777777" w:rsidR="0039721F" w:rsidRDefault="00000000">
            <w:pPr>
              <w:spacing w:after="40"/>
            </w:pPr>
            <w:r>
              <w:rPr>
                <w:sz w:val="18"/>
              </w:rPr>
              <w:t>Veefkind et al., *"TROPOMI on the ESA Sentinel-5 Precursor,"* Remote Sensing of Environment, 2012</w:t>
            </w:r>
          </w:p>
        </w:tc>
        <w:tc>
          <w:tcPr>
            <w:tcW w:w="4824" w:type="dxa"/>
          </w:tcPr>
          <w:p w14:paraId="617BB38B" w14:textId="77777777" w:rsidR="0039721F" w:rsidRDefault="00000000">
            <w:pPr>
              <w:spacing w:after="40"/>
            </w:pPr>
            <w:r>
              <w:rPr>
                <w:sz w:val="18"/>
              </w:rPr>
              <w:t>Basis for the Sentinel‑5P NO2/SO2 ingestion path (Section 14) and the QA‑filtering convention (discard pixels below QA 0.75) documented for the raster‑regridding upgrade.</w:t>
            </w:r>
          </w:p>
        </w:tc>
      </w:tr>
      <w:tr w:rsidR="0039721F" w14:paraId="6F089AC2" w14:textId="77777777">
        <w:trPr>
          <w:jc w:val="center"/>
        </w:trPr>
        <w:tc>
          <w:tcPr>
            <w:tcW w:w="4824" w:type="dxa"/>
          </w:tcPr>
          <w:p w14:paraId="6192C8DA" w14:textId="77777777" w:rsidR="0039721F" w:rsidRDefault="00000000">
            <w:pPr>
              <w:spacing w:after="40"/>
            </w:pPr>
            <w:r>
              <w:rPr>
                <w:sz w:val="18"/>
              </w:rPr>
              <w:lastRenderedPageBreak/>
              <w:t>Schroeder et al., *"The New VIIRS 375 m active fire detection data product,"* Remote Sensing of Environment, 2014</w:t>
            </w:r>
          </w:p>
        </w:tc>
        <w:tc>
          <w:tcPr>
            <w:tcW w:w="4824" w:type="dxa"/>
          </w:tcPr>
          <w:p w14:paraId="5730325A" w14:textId="77777777" w:rsidR="0039721F" w:rsidRDefault="00000000">
            <w:pPr>
              <w:spacing w:after="40"/>
            </w:pPr>
            <w:r>
              <w:rPr>
                <w:sz w:val="18"/>
              </w:rPr>
              <w:t>Basis for treating NASA FIRMS VIIRS detections' confidence and Fire Radiative Power (FRP) as the biomass‑burning evidence signal in the attribution engine (Section 20).</w:t>
            </w:r>
          </w:p>
        </w:tc>
      </w:tr>
      <w:tr w:rsidR="0039721F" w14:paraId="05036D40" w14:textId="77777777">
        <w:trPr>
          <w:jc w:val="center"/>
        </w:trPr>
        <w:tc>
          <w:tcPr>
            <w:tcW w:w="4824" w:type="dxa"/>
          </w:tcPr>
          <w:p w14:paraId="3825EC2E" w14:textId="77777777" w:rsidR="0039721F" w:rsidRDefault="00000000">
            <w:pPr>
              <w:spacing w:after="40"/>
            </w:pPr>
            <w:r>
              <w:rPr>
                <w:sz w:val="18"/>
              </w:rPr>
              <w:t>CPCB National Air Quality Index (NAQI) methodology</w:t>
            </w:r>
          </w:p>
        </w:tc>
        <w:tc>
          <w:tcPr>
            <w:tcW w:w="4824" w:type="dxa"/>
          </w:tcPr>
          <w:p w14:paraId="21E2632D" w14:textId="77777777" w:rsidR="0039721F" w:rsidRDefault="00000000">
            <w:pPr>
              <w:spacing w:after="40"/>
            </w:pPr>
            <w:r>
              <w:rPr>
                <w:sz w:val="18"/>
              </w:rPr>
              <w:t>Source of the PM2.5 breakpoint bands (Good/Satisfactory/Moderate/Poor/Very Poor/Severe) used identically on the frontend and backend (Section 22) so citizen‑facing labels match the regulator's own vocabulary.</w:t>
            </w:r>
          </w:p>
        </w:tc>
      </w:tr>
      <w:tr w:rsidR="0039721F" w14:paraId="25A29BB0" w14:textId="77777777">
        <w:trPr>
          <w:jc w:val="center"/>
        </w:trPr>
        <w:tc>
          <w:tcPr>
            <w:tcW w:w="4824" w:type="dxa"/>
          </w:tcPr>
          <w:p w14:paraId="6F82D0B1" w14:textId="77777777" w:rsidR="0039721F" w:rsidRDefault="00000000">
            <w:pPr>
              <w:spacing w:after="40"/>
            </w:pPr>
            <w:r>
              <w:rPr>
                <w:sz w:val="18"/>
              </w:rPr>
              <w:t>WHO Global Air Quality Guidelines, 2021</w:t>
            </w:r>
          </w:p>
        </w:tc>
        <w:tc>
          <w:tcPr>
            <w:tcW w:w="4824" w:type="dxa"/>
          </w:tcPr>
          <w:p w14:paraId="088D0918" w14:textId="77777777" w:rsidR="0039721F" w:rsidRDefault="00000000">
            <w:pPr>
              <w:spacing w:after="40"/>
            </w:pPr>
            <w:r>
              <w:rPr>
                <w:sz w:val="18"/>
              </w:rPr>
              <w:t>Health‑guidance framing for the advisory copy; the platform's own anomaly‑trigger threshold is deliberately pinned to CPCB's operational "Very Poor" band rather than WHO's much stricter 24‑hour guideline (15 µg/m³) — an explicit, documented design choice discussed in Section 20, not an oversight.</w:t>
            </w:r>
          </w:p>
        </w:tc>
      </w:tr>
      <w:tr w:rsidR="0039721F" w14:paraId="65BAFDF6" w14:textId="77777777">
        <w:trPr>
          <w:jc w:val="center"/>
        </w:trPr>
        <w:tc>
          <w:tcPr>
            <w:tcW w:w="4824" w:type="dxa"/>
          </w:tcPr>
          <w:p w14:paraId="6A3B6ABA" w14:textId="77777777" w:rsidR="0039721F" w:rsidRDefault="00000000">
            <w:pPr>
              <w:spacing w:after="40"/>
            </w:pPr>
            <w:r>
              <w:rPr>
                <w:sz w:val="18"/>
              </w:rPr>
              <w:t>Lancet Planetary Health (Global Burden of Disease, India State‑Level Disease Burden Initiative), 2020–21</w:t>
            </w:r>
          </w:p>
        </w:tc>
        <w:tc>
          <w:tcPr>
            <w:tcW w:w="4824" w:type="dxa"/>
          </w:tcPr>
          <w:p w14:paraId="047A5FD4" w14:textId="77777777" w:rsidR="0039721F" w:rsidRDefault="00000000">
            <w:pPr>
              <w:spacing w:after="40"/>
            </w:pPr>
            <w:r>
              <w:rPr>
                <w:sz w:val="18"/>
              </w:rPr>
              <w:t>Source of the 1.67 million premature‑deaths‑per‑year figure that anchors the business‑impact case (Section 35).</w:t>
            </w:r>
          </w:p>
        </w:tc>
      </w:tr>
      <w:tr w:rsidR="0039721F" w14:paraId="04FEEBC2" w14:textId="77777777">
        <w:trPr>
          <w:jc w:val="center"/>
        </w:trPr>
        <w:tc>
          <w:tcPr>
            <w:tcW w:w="4824" w:type="dxa"/>
          </w:tcPr>
          <w:p w14:paraId="51ADBE2D" w14:textId="77777777" w:rsidR="0039721F" w:rsidRDefault="00000000">
            <w:pPr>
              <w:spacing w:after="40"/>
            </w:pPr>
            <w:r>
              <w:rPr>
                <w:sz w:val="18"/>
              </w:rPr>
              <w:t>Awasthi et al., *"Biomass-burning sources control ambient particulate matter... in Delhi,"* Atmospheric Chemistry and Physics 24, 2024</w:t>
            </w:r>
          </w:p>
        </w:tc>
        <w:tc>
          <w:tcPr>
            <w:tcW w:w="4824" w:type="dxa"/>
          </w:tcPr>
          <w:p w14:paraId="1165AF33" w14:textId="77777777" w:rsidR="0039721F" w:rsidRDefault="00000000">
            <w:pPr>
              <w:spacing w:after="40"/>
            </w:pPr>
            <w:r>
              <w:rPr>
                <w:sz w:val="18"/>
              </w:rPr>
              <w:t>Positive-matrix-factorization evidence that biomass/paddy-residue burning is the dominant PM10 source during Delhi pollution episodes (~25%) — empirical support for the biomass‑burning evidence class scored in the attribution engine (Section 20).</w:t>
            </w:r>
          </w:p>
        </w:tc>
      </w:tr>
    </w:tbl>
    <w:p w14:paraId="42A715BE" w14:textId="77777777" w:rsidR="0039721F" w:rsidRDefault="0039721F">
      <w:pPr>
        <w:spacing w:after="80"/>
      </w:pPr>
    </w:p>
    <w:p w14:paraId="1EF9F091" w14:textId="77777777" w:rsidR="0039721F" w:rsidRDefault="00000000">
      <w:r>
        <w:t>An internal deep‑research synthesis (</w:t>
      </w:r>
      <w:r>
        <w:rPr>
          <w:rFonts w:ascii="Consolas" w:hAnsi="Consolas"/>
          <w:color w:val="8A2B2B"/>
          <w:sz w:val="19"/>
        </w:rPr>
        <w:t>docs/AI Air Quality Platform Research.md</w:t>
      </w:r>
      <w:r>
        <w:t>), produced early in the build to catalogue candidate open‑source repositories (</w:t>
      </w:r>
      <w:r>
        <w:rPr>
          <w:rFonts w:ascii="Consolas" w:hAnsi="Consolas"/>
          <w:color w:val="8A2B2B"/>
          <w:sz w:val="19"/>
        </w:rPr>
        <w:t>PM2.5</w:t>
      </w:r>
      <w:r>
        <w:rPr>
          <w:rFonts w:ascii="Cambria Math" w:hAnsi="Cambria Math" w:cs="Cambria Math"/>
          <w:color w:val="8A2B2B"/>
          <w:sz w:val="19"/>
        </w:rPr>
        <w:t>‑</w:t>
      </w:r>
      <w:r>
        <w:rPr>
          <w:rFonts w:ascii="Consolas" w:hAnsi="Consolas"/>
          <w:color w:val="8A2B2B"/>
          <w:sz w:val="19"/>
        </w:rPr>
        <w:t>GNN</w:t>
      </w:r>
      <w:r>
        <w:t xml:space="preserve">, </w:t>
      </w:r>
      <w:r>
        <w:rPr>
          <w:rFonts w:ascii="Consolas" w:hAnsi="Consolas"/>
          <w:color w:val="8A2B2B"/>
          <w:sz w:val="19"/>
        </w:rPr>
        <w:t>ForecastPro</w:t>
      </w:r>
      <w:r>
        <w:t xml:space="preserve">/ConvLSTM reference code, </w:t>
      </w:r>
      <w:r>
        <w:rPr>
          <w:rFonts w:ascii="Consolas" w:hAnsi="Consolas"/>
          <w:color w:val="8A2B2B"/>
          <w:sz w:val="19"/>
        </w:rPr>
        <w:t>openaq</w:t>
      </w:r>
      <w:r>
        <w:rPr>
          <w:rFonts w:ascii="Cambria Math" w:hAnsi="Cambria Math" w:cs="Cambria Math"/>
          <w:color w:val="8A2B2B"/>
          <w:sz w:val="19"/>
        </w:rPr>
        <w:t>‑</w:t>
      </w:r>
      <w:r>
        <w:rPr>
          <w:rFonts w:ascii="Consolas" w:hAnsi="Consolas"/>
          <w:color w:val="8A2B2B"/>
          <w:sz w:val="19"/>
        </w:rPr>
        <w:t>python</w:t>
      </w:r>
      <w:r>
        <w:t xml:space="preserve">, Sentinel‑5P/HARP regridding tools, </w:t>
      </w:r>
      <w:r>
        <w:rPr>
          <w:rFonts w:ascii="Consolas" w:hAnsi="Consolas"/>
          <w:color w:val="8A2B2B"/>
          <w:sz w:val="19"/>
        </w:rPr>
        <w:t>calpy</w:t>
      </w:r>
      <w:r>
        <w:t xml:space="preserve">/CALPUFF and </w:t>
      </w:r>
      <w:r>
        <w:rPr>
          <w:rFonts w:ascii="Consolas" w:hAnsi="Consolas"/>
          <w:color w:val="8A2B2B"/>
          <w:sz w:val="19"/>
        </w:rPr>
        <w:t>aermodpy</w:t>
      </w:r>
      <w:r>
        <w:t xml:space="preserve">/AERMOD dispersion wrappers) and the mathematical framework (IDW, Gaussian‑plume dispersion, RMSE‑vs‑persistence evaluation), served as the team's internal knowledge base during the build. In the interest of an accurate submission: the dispersion‑model wrappers (CALPUFF, AERMOD) surfaced in that research were evaluated as *candidate* future integrations for physically‑grounded forward modelling, but are </w:t>
      </w:r>
      <w:r>
        <w:rPr>
          <w:b/>
        </w:rPr>
        <w:t>not</w:t>
      </w:r>
      <w:r>
        <w:t xml:space="preserve"> part of the shipped codebase — the shipped attribution engine uses the deterministic evidence‑scoring method described in Section 20, not a chemical transport model. This distinction is kept explicit throughout this document rather than blurred.</w:t>
      </w:r>
    </w:p>
    <w:p w14:paraId="758EBCA5" w14:textId="77777777" w:rsidR="0039721F" w:rsidRDefault="00000000">
      <w:pPr>
        <w:pStyle w:val="Heading1"/>
      </w:pPr>
      <w:r>
        <w:t>5. Existing Solutions and Gap Analysis</w:t>
      </w:r>
    </w:p>
    <w:tbl>
      <w:tblPr>
        <w:tblStyle w:val="TableGrid"/>
        <w:tblW w:w="0" w:type="auto"/>
        <w:jc w:val="center"/>
        <w:tblLook w:val="04A0" w:firstRow="1" w:lastRow="0" w:firstColumn="1" w:lastColumn="0" w:noHBand="0" w:noVBand="1"/>
      </w:tblPr>
      <w:tblGrid>
        <w:gridCol w:w="3216"/>
        <w:gridCol w:w="3216"/>
        <w:gridCol w:w="3216"/>
      </w:tblGrid>
      <w:tr w:rsidR="0039721F" w14:paraId="73C4CE7B" w14:textId="77777777">
        <w:trPr>
          <w:jc w:val="center"/>
        </w:trPr>
        <w:tc>
          <w:tcPr>
            <w:tcW w:w="3216" w:type="dxa"/>
            <w:shd w:val="clear" w:color="auto" w:fill="E4DEFF"/>
          </w:tcPr>
          <w:p w14:paraId="7FE7FB33" w14:textId="77777777" w:rsidR="0039721F" w:rsidRDefault="00000000">
            <w:pPr>
              <w:spacing w:after="40"/>
            </w:pPr>
            <w:r>
              <w:rPr>
                <w:b/>
                <w:sz w:val="18"/>
              </w:rPr>
              <w:t>Existing solution</w:t>
            </w:r>
          </w:p>
        </w:tc>
        <w:tc>
          <w:tcPr>
            <w:tcW w:w="3216" w:type="dxa"/>
            <w:shd w:val="clear" w:color="auto" w:fill="E4DEFF"/>
          </w:tcPr>
          <w:p w14:paraId="019CDE13" w14:textId="77777777" w:rsidR="0039721F" w:rsidRDefault="00000000">
            <w:pPr>
              <w:spacing w:after="40"/>
            </w:pPr>
            <w:r>
              <w:rPr>
                <w:b/>
                <w:sz w:val="18"/>
              </w:rPr>
              <w:t>What it does</w:t>
            </w:r>
          </w:p>
        </w:tc>
        <w:tc>
          <w:tcPr>
            <w:tcW w:w="3216" w:type="dxa"/>
            <w:shd w:val="clear" w:color="auto" w:fill="E4DEFF"/>
          </w:tcPr>
          <w:p w14:paraId="7A002CD5" w14:textId="77777777" w:rsidR="0039721F" w:rsidRDefault="00000000">
            <w:pPr>
              <w:spacing w:after="40"/>
            </w:pPr>
            <w:r>
              <w:rPr>
                <w:b/>
                <w:sz w:val="18"/>
              </w:rPr>
              <w:t>What it does not do</w:t>
            </w:r>
          </w:p>
        </w:tc>
      </w:tr>
      <w:tr w:rsidR="0039721F" w14:paraId="501726D8" w14:textId="77777777">
        <w:trPr>
          <w:jc w:val="center"/>
        </w:trPr>
        <w:tc>
          <w:tcPr>
            <w:tcW w:w="3216" w:type="dxa"/>
          </w:tcPr>
          <w:p w14:paraId="603227AA" w14:textId="77777777" w:rsidR="0039721F" w:rsidRDefault="00000000">
            <w:pPr>
              <w:spacing w:after="40"/>
            </w:pPr>
            <w:r>
              <w:rPr>
                <w:sz w:val="18"/>
              </w:rPr>
              <w:t>CPCB / SAMEER app and dashboards</w:t>
            </w:r>
          </w:p>
        </w:tc>
        <w:tc>
          <w:tcPr>
            <w:tcW w:w="3216" w:type="dxa"/>
          </w:tcPr>
          <w:p w14:paraId="7F287CA5" w14:textId="77777777" w:rsidR="0039721F" w:rsidRDefault="00000000">
            <w:pPr>
              <w:spacing w:after="40"/>
            </w:pPr>
            <w:r>
              <w:rPr>
                <w:sz w:val="18"/>
              </w:rPr>
              <w:t>Publishes live CAAQMS readings and the national AQI per station/city</w:t>
            </w:r>
          </w:p>
        </w:tc>
        <w:tc>
          <w:tcPr>
            <w:tcW w:w="3216" w:type="dxa"/>
          </w:tcPr>
          <w:p w14:paraId="4F42C89E" w14:textId="77777777" w:rsidR="0039721F" w:rsidRDefault="00000000">
            <w:pPr>
              <w:spacing w:after="40"/>
            </w:pPr>
            <w:r>
              <w:rPr>
                <w:sz w:val="18"/>
              </w:rPr>
              <w:t>No hyperlocal grid forecast, no source attribution, no enforcement prioritisation</w:t>
            </w:r>
          </w:p>
        </w:tc>
      </w:tr>
      <w:tr w:rsidR="0039721F" w14:paraId="2F05312C" w14:textId="77777777">
        <w:trPr>
          <w:jc w:val="center"/>
        </w:trPr>
        <w:tc>
          <w:tcPr>
            <w:tcW w:w="3216" w:type="dxa"/>
          </w:tcPr>
          <w:p w14:paraId="233A1752" w14:textId="77777777" w:rsidR="0039721F" w:rsidRDefault="00000000">
            <w:pPr>
              <w:spacing w:after="40"/>
            </w:pPr>
            <w:r>
              <w:rPr>
                <w:sz w:val="18"/>
              </w:rPr>
              <w:t>SAFAR (System of Air Quality Forecasting and Research, IITM)</w:t>
            </w:r>
          </w:p>
        </w:tc>
        <w:tc>
          <w:tcPr>
            <w:tcW w:w="3216" w:type="dxa"/>
          </w:tcPr>
          <w:p w14:paraId="069D5905" w14:textId="77777777" w:rsidR="0039721F" w:rsidRDefault="00000000">
            <w:pPr>
              <w:spacing w:after="40"/>
            </w:pPr>
            <w:r>
              <w:rPr>
                <w:sz w:val="18"/>
              </w:rPr>
              <w:t>City‑scale chemical‑transport forecasting for a handful of Indian metros</w:t>
            </w:r>
          </w:p>
        </w:tc>
        <w:tc>
          <w:tcPr>
            <w:tcW w:w="3216" w:type="dxa"/>
          </w:tcPr>
          <w:p w14:paraId="5D6CB915" w14:textId="77777777" w:rsidR="0039721F" w:rsidRDefault="00000000">
            <w:pPr>
              <w:spacing w:after="40"/>
            </w:pPr>
            <w:r>
              <w:rPr>
                <w:sz w:val="18"/>
              </w:rPr>
              <w:t>Forecast granularity is city/zone level, not a continuous 1&amp;nbsp;km grid; no LLM‑assisted attribution rationale or enforcement dispatch loop; not designed for rapid multi‑city onboarding</w:t>
            </w:r>
          </w:p>
        </w:tc>
      </w:tr>
      <w:tr w:rsidR="0039721F" w14:paraId="030E484E" w14:textId="77777777">
        <w:trPr>
          <w:jc w:val="center"/>
        </w:trPr>
        <w:tc>
          <w:tcPr>
            <w:tcW w:w="3216" w:type="dxa"/>
          </w:tcPr>
          <w:p w14:paraId="753C36F4" w14:textId="77777777" w:rsidR="0039721F" w:rsidRDefault="00000000">
            <w:pPr>
              <w:spacing w:after="40"/>
            </w:pPr>
            <w:r>
              <w:rPr>
                <w:sz w:val="18"/>
              </w:rPr>
              <w:t>Commercial consumer apps (IQAir, AccuWeather AQI, Plume‑type trackers)</w:t>
            </w:r>
          </w:p>
        </w:tc>
        <w:tc>
          <w:tcPr>
            <w:tcW w:w="3216" w:type="dxa"/>
          </w:tcPr>
          <w:p w14:paraId="221523E8" w14:textId="77777777" w:rsidR="0039721F" w:rsidRDefault="00000000">
            <w:pPr>
              <w:spacing w:after="40"/>
            </w:pPr>
            <w:r>
              <w:rPr>
                <w:sz w:val="18"/>
              </w:rPr>
              <w:t>Current and short‑range AQI, largely from third‑party model blends</w:t>
            </w:r>
          </w:p>
        </w:tc>
        <w:tc>
          <w:tcPr>
            <w:tcW w:w="3216" w:type="dxa"/>
          </w:tcPr>
          <w:p w14:paraId="200F3919" w14:textId="77777777" w:rsidR="0039721F" w:rsidRDefault="00000000">
            <w:pPr>
              <w:spacing w:after="40"/>
            </w:pPr>
            <w:r>
              <w:rPr>
                <w:sz w:val="18"/>
              </w:rPr>
              <w:t>Consumer‑facing only; no administrator tooling, no attribution evidence, no enforcement routing, no regional‑language advisory pipeline tied to CPCB bands</w:t>
            </w:r>
          </w:p>
        </w:tc>
      </w:tr>
      <w:tr w:rsidR="0039721F" w14:paraId="462F3FFE" w14:textId="77777777">
        <w:trPr>
          <w:jc w:val="center"/>
        </w:trPr>
        <w:tc>
          <w:tcPr>
            <w:tcW w:w="3216" w:type="dxa"/>
          </w:tcPr>
          <w:p w14:paraId="55F8921B" w14:textId="77777777" w:rsidR="0039721F" w:rsidRDefault="00000000">
            <w:pPr>
              <w:spacing w:after="40"/>
            </w:pPr>
            <w:r>
              <w:rPr>
                <w:sz w:val="18"/>
              </w:rPr>
              <w:t>Municipal GRAP‑style response systems</w:t>
            </w:r>
          </w:p>
        </w:tc>
        <w:tc>
          <w:tcPr>
            <w:tcW w:w="3216" w:type="dxa"/>
          </w:tcPr>
          <w:p w14:paraId="3C09F160" w14:textId="77777777" w:rsidR="0039721F" w:rsidRDefault="00000000">
            <w:pPr>
              <w:spacing w:after="40"/>
            </w:pPr>
            <w:r>
              <w:rPr>
                <w:sz w:val="18"/>
              </w:rPr>
              <w:t xml:space="preserve">Trigger predefined city‑wide restrictions once a threshold is </w:t>
            </w:r>
            <w:r>
              <w:rPr>
                <w:sz w:val="18"/>
              </w:rPr>
              <w:lastRenderedPageBreak/>
              <w:t>crossed</w:t>
            </w:r>
          </w:p>
        </w:tc>
        <w:tc>
          <w:tcPr>
            <w:tcW w:w="3216" w:type="dxa"/>
          </w:tcPr>
          <w:p w14:paraId="647DB901" w14:textId="77777777" w:rsidR="0039721F" w:rsidRDefault="00000000">
            <w:pPr>
              <w:spacing w:after="40"/>
            </w:pPr>
            <w:r>
              <w:rPr>
                <w:sz w:val="18"/>
              </w:rPr>
              <w:lastRenderedPageBreak/>
              <w:t xml:space="preserve">Reactive by construction (acts after the threshold, not ahead of it); no per‑source attribution, no spatial </w:t>
            </w:r>
            <w:r>
              <w:rPr>
                <w:sz w:val="18"/>
              </w:rPr>
              <w:lastRenderedPageBreak/>
              <w:t>prioritisation of *where* to act</w:t>
            </w:r>
          </w:p>
        </w:tc>
      </w:tr>
    </w:tbl>
    <w:p w14:paraId="1DB6CAF1" w14:textId="77777777" w:rsidR="0039721F" w:rsidRDefault="0039721F">
      <w:pPr>
        <w:spacing w:after="80"/>
      </w:pPr>
    </w:p>
    <w:p w14:paraId="089446F6" w14:textId="77777777" w:rsidR="0039721F" w:rsidRDefault="00000000">
      <w:r>
        <w:rPr>
          <w:b/>
        </w:rPr>
        <w:t>The gap, stated plainly (and matching the problem brief's own framing):</w:t>
      </w:r>
      <w:r>
        <w:t xml:space="preserve"> every existing system available to an Indian city today does at most one of {monitor, forecast, attribute, enforce, advise citizens}. None does all five from one shared spatial index with the evidence trail exposed to the end user. UrbanAir Intel's specific contribution is not a better forecaster in isolation — ConvLSTM and IDW are well‑established methods — it is closing the *loop*: the same </w:t>
      </w:r>
      <w:r>
        <w:rPr>
          <w:rFonts w:ascii="Consolas" w:hAnsi="Consolas"/>
          <w:color w:val="8A2B2B"/>
          <w:sz w:val="19"/>
        </w:rPr>
        <w:t>grid_id</w:t>
      </w:r>
      <w:r>
        <w:t xml:space="preserve"> that produced a forecast is the </w:t>
      </w:r>
      <w:r>
        <w:rPr>
          <w:rFonts w:ascii="Consolas" w:hAnsi="Consolas"/>
          <w:color w:val="8A2B2B"/>
          <w:sz w:val="19"/>
        </w:rPr>
        <w:t>grid_id</w:t>
      </w:r>
      <w:r>
        <w:t xml:space="preserve"> an attribution agent reasons over and an enforcement agent dispatches to, and the administrator sees the same evidence objects the agents did rather than an opaque score.</w:t>
      </w:r>
    </w:p>
    <w:p w14:paraId="3B7302D1" w14:textId="77777777" w:rsidR="0039721F" w:rsidRDefault="00000000">
      <w:pPr>
        <w:pStyle w:val="Heading1"/>
      </w:pPr>
      <w:r>
        <w:t>6. Objectives</w:t>
      </w:r>
    </w:p>
    <w:p w14:paraId="463FCF49" w14:textId="77777777" w:rsidR="0039721F" w:rsidRDefault="00000000">
      <w:pPr>
        <w:pStyle w:val="ListNumber"/>
        <w:numPr>
          <w:ilvl w:val="0"/>
          <w:numId w:val="10"/>
        </w:numPr>
      </w:pPr>
      <w:r>
        <w:t>Build a live, gridded digital twin of a city's airshed at 1&amp;nbsp;km resolution from real, freely‑available data sources — no synthetic or purchased ground truth.</w:t>
      </w:r>
    </w:p>
    <w:p w14:paraId="190008AD" w14:textId="77777777" w:rsidR="0039721F" w:rsidRDefault="00000000">
      <w:pPr>
        <w:pStyle w:val="ListNumber"/>
      </w:pPr>
      <w:r>
        <w:t>Forecast PM2.5 at 1–72 hour horizons and report the result against the persistence baseline the brief explicitly judges, honestly, including where the model does *not* yet win.</w:t>
      </w:r>
    </w:p>
    <w:p w14:paraId="31599091" w14:textId="77777777" w:rsidR="0039721F" w:rsidRDefault="00000000">
      <w:pPr>
        <w:pStyle w:val="ListNumber"/>
      </w:pPr>
      <w:r>
        <w:t>Attribute anomalies to a source category (biomass burning / industrial / vehicular / mixed‑unknown) with a numeric confidence score and an inspectable evidence list, not just an LLM's unstructured opinion.</w:t>
      </w:r>
    </w:p>
    <w:p w14:paraId="540BDB99" w14:textId="77777777" w:rsidR="0039721F" w:rsidRDefault="00000000">
      <w:pPr>
        <w:pStyle w:val="ListNumber"/>
      </w:pPr>
      <w:r>
        <w:t>Convert attributions into a prioritised, geographically‑ordered enforcement patrol plan, and track the plan through a real dispatch lifecycle so the brief's "signal‑to‑intervention time" metric is a measured number, not an aspiration.</w:t>
      </w:r>
    </w:p>
    <w:p w14:paraId="65F45D03" w14:textId="77777777" w:rsidR="0039721F" w:rsidRDefault="00000000">
      <w:pPr>
        <w:pStyle w:val="ListNumber"/>
      </w:pPr>
      <w:r>
        <w:t>Deliver citizen‑facing health advisories in the citizen's own regional language and script, generated from the live state, with a deterministic fallback so the feature never silently fails.</w:t>
      </w:r>
    </w:p>
    <w:p w14:paraId="6AA13386" w14:textId="77777777" w:rsidR="0039721F" w:rsidRDefault="00000000">
      <w:pPr>
        <w:pStyle w:val="ListNumber"/>
      </w:pPr>
      <w:r>
        <w:t xml:space="preserve">Architect every layer — ingestion, grid, cubes, model, agents — around one </w:t>
      </w:r>
      <w:r>
        <w:rPr>
          <w:rFonts w:ascii="Consolas" w:hAnsi="Consolas"/>
          <w:color w:val="8A2B2B"/>
          <w:sz w:val="19"/>
        </w:rPr>
        <w:t>city_slug</w:t>
      </w:r>
      <w:r>
        <w:t>‑keyed index so a second and third city are additive, not a rewrite.</w:t>
      </w:r>
    </w:p>
    <w:p w14:paraId="45428A0D" w14:textId="77777777" w:rsidR="0039721F" w:rsidRDefault="00000000">
      <w:pPr>
        <w:pStyle w:val="Heading1"/>
      </w:pPr>
      <w:r>
        <w:t>7. Scope of the Project</w:t>
      </w:r>
    </w:p>
    <w:p w14:paraId="24B6DD8E" w14:textId="77777777" w:rsidR="0039721F" w:rsidRDefault="00000000">
      <w:r>
        <w:rPr>
          <w:b/>
        </w:rPr>
        <w:t>In scope (built and demonstrable today):</w:t>
      </w:r>
      <w:r>
        <w:t xml:space="preserve"> Delhi NCR as the live city; five ingestion pipelines (CAAQMS/OpenAQ, NASA FIRMS, Open‑Meteo, OSM Overpass, Sentinel‑5P catalog); the 1&amp;nbsp;km grid engine with IDW; 13‑channel feature cubes; a trained ConvLSTM forecaster (1h rollout + 24h‑direct); a three‑agent LangGraph enforcement pipeline with persisted, paginated run history and dispatch‑status tracking; a six‑language citizen advisory endpoint; an 8‑route Next.js dashboard; a Mumbai bounding box registered (ingestion/training not yet run for it).</w:t>
      </w:r>
    </w:p>
    <w:p w14:paraId="165E5958" w14:textId="77777777" w:rsidR="0039721F" w:rsidRDefault="00000000">
      <w:r>
        <w:rPr>
          <w:b/>
        </w:rPr>
        <w:t>Explicitly out of scope for this submission (see Section 37 for why, Section 38 for the upgrade path):</w:t>
      </w:r>
      <w:r>
        <w:t xml:space="preserve"> Sentinel‑5P *raster* regridding (currently catalog‑level ingestion only; the NO2 channel is ground‑sensor‑proxy‑filled, flagged NaN where genuinely missing, never silently zero‑filled); physically‑grounded atmospheric dispersion modelling (Gaussian plume / CALPUFF‑class); construction‑permit and industrial‑registry ingestion; road‑network‑aware patrol routing (current routing is nearest‑neighbour over grid centroids, not an OSRM shortest path); SMS/IVR delivery of advisories; authentication/authorisation on any endpoint; authentication/authorisation hardened for production use (current deployment at https://eta-liard-nine.vercel.app/ is a judged-prototype deployment, not a hardened one, see Section 27).</w:t>
      </w:r>
    </w:p>
    <w:p w14:paraId="3C9646C2" w14:textId="77777777" w:rsidR="0039721F" w:rsidRDefault="00000000">
      <w:pPr>
        <w:pStyle w:val="Heading1"/>
      </w:pPr>
      <w:r>
        <w:t>8. Stakeholders and User Personas</w:t>
      </w:r>
    </w:p>
    <w:tbl>
      <w:tblPr>
        <w:tblStyle w:val="TableGrid"/>
        <w:tblW w:w="0" w:type="auto"/>
        <w:jc w:val="center"/>
        <w:tblLook w:val="04A0" w:firstRow="1" w:lastRow="0" w:firstColumn="1" w:lastColumn="0" w:noHBand="0" w:noVBand="1"/>
      </w:tblPr>
      <w:tblGrid>
        <w:gridCol w:w="3216"/>
        <w:gridCol w:w="3216"/>
        <w:gridCol w:w="3284"/>
      </w:tblGrid>
      <w:tr w:rsidR="0039721F" w14:paraId="70EEF152" w14:textId="77777777">
        <w:trPr>
          <w:jc w:val="center"/>
        </w:trPr>
        <w:tc>
          <w:tcPr>
            <w:tcW w:w="3216" w:type="dxa"/>
            <w:shd w:val="clear" w:color="auto" w:fill="E4DEFF"/>
          </w:tcPr>
          <w:p w14:paraId="6C254662" w14:textId="77777777" w:rsidR="0039721F" w:rsidRDefault="00000000">
            <w:pPr>
              <w:spacing w:after="40"/>
            </w:pPr>
            <w:r>
              <w:rPr>
                <w:b/>
                <w:sz w:val="18"/>
              </w:rPr>
              <w:t>Persona</w:t>
            </w:r>
          </w:p>
        </w:tc>
        <w:tc>
          <w:tcPr>
            <w:tcW w:w="3216" w:type="dxa"/>
            <w:shd w:val="clear" w:color="auto" w:fill="E4DEFF"/>
          </w:tcPr>
          <w:p w14:paraId="6D0A097F" w14:textId="77777777" w:rsidR="0039721F" w:rsidRDefault="00000000">
            <w:pPr>
              <w:spacing w:after="40"/>
            </w:pPr>
            <w:r>
              <w:rPr>
                <w:b/>
                <w:sz w:val="18"/>
              </w:rPr>
              <w:t>Need</w:t>
            </w:r>
          </w:p>
        </w:tc>
        <w:tc>
          <w:tcPr>
            <w:tcW w:w="3216" w:type="dxa"/>
            <w:shd w:val="clear" w:color="auto" w:fill="E4DEFF"/>
          </w:tcPr>
          <w:p w14:paraId="351B3C8E" w14:textId="77777777" w:rsidR="0039721F" w:rsidRDefault="00000000">
            <w:pPr>
              <w:spacing w:after="40"/>
            </w:pPr>
            <w:r>
              <w:rPr>
                <w:b/>
                <w:sz w:val="18"/>
              </w:rPr>
              <w:t>Platform surface used</w:t>
            </w:r>
          </w:p>
        </w:tc>
      </w:tr>
      <w:tr w:rsidR="0039721F" w14:paraId="464392A8" w14:textId="77777777">
        <w:trPr>
          <w:jc w:val="center"/>
        </w:trPr>
        <w:tc>
          <w:tcPr>
            <w:tcW w:w="3216" w:type="dxa"/>
          </w:tcPr>
          <w:p w14:paraId="19ACB98C" w14:textId="77777777" w:rsidR="0039721F" w:rsidRDefault="00000000">
            <w:pPr>
              <w:spacing w:after="40"/>
            </w:pPr>
            <w:r>
              <w:rPr>
                <w:b/>
                <w:sz w:val="18"/>
              </w:rPr>
              <w:t>City / SPCB (State Pollution Control Board) administrator</w:t>
            </w:r>
          </w:p>
        </w:tc>
        <w:tc>
          <w:tcPr>
            <w:tcW w:w="3216" w:type="dxa"/>
          </w:tcPr>
          <w:p w14:paraId="1256F2EC" w14:textId="77777777" w:rsidR="0039721F" w:rsidRDefault="00000000">
            <w:pPr>
              <w:spacing w:after="40"/>
            </w:pPr>
            <w:r>
              <w:rPr>
                <w:sz w:val="18"/>
              </w:rPr>
              <w:t>Know where pollution is worst *right now* and why, and where to send inspectors next</w:t>
            </w:r>
          </w:p>
        </w:tc>
        <w:tc>
          <w:tcPr>
            <w:tcW w:w="3216" w:type="dxa"/>
          </w:tcPr>
          <w:p w14:paraId="2CB21104" w14:textId="77777777" w:rsidR="0039721F" w:rsidRDefault="00000000">
            <w:pPr>
              <w:spacing w:after="40"/>
            </w:pPr>
            <w:r>
              <w:rPr>
                <w:rFonts w:ascii="Consolas" w:hAnsi="Consolas"/>
                <w:color w:val="8A2B2B"/>
                <w:sz w:val="18"/>
              </w:rPr>
              <w:t>/map</w:t>
            </w:r>
            <w:r>
              <w:rPr>
                <w:sz w:val="18"/>
              </w:rPr>
              <w:t xml:space="preserve">, </w:t>
            </w:r>
            <w:r>
              <w:rPr>
                <w:rFonts w:ascii="Consolas" w:hAnsi="Consolas"/>
                <w:color w:val="8A2B2B"/>
                <w:sz w:val="18"/>
              </w:rPr>
              <w:t>/attribution</w:t>
            </w:r>
            <w:r>
              <w:rPr>
                <w:sz w:val="18"/>
              </w:rPr>
              <w:t xml:space="preserve">, </w:t>
            </w:r>
            <w:r>
              <w:rPr>
                <w:rFonts w:ascii="Consolas" w:hAnsi="Consolas"/>
                <w:color w:val="8A2B2B"/>
                <w:sz w:val="18"/>
              </w:rPr>
              <w:t>/enforcement</w:t>
            </w:r>
          </w:p>
        </w:tc>
      </w:tr>
      <w:tr w:rsidR="0039721F" w14:paraId="338F3BC6" w14:textId="77777777">
        <w:trPr>
          <w:jc w:val="center"/>
        </w:trPr>
        <w:tc>
          <w:tcPr>
            <w:tcW w:w="3216" w:type="dxa"/>
          </w:tcPr>
          <w:p w14:paraId="295E0675" w14:textId="77777777" w:rsidR="0039721F" w:rsidRDefault="00000000">
            <w:pPr>
              <w:spacing w:after="40"/>
            </w:pPr>
            <w:r>
              <w:rPr>
                <w:b/>
                <w:sz w:val="18"/>
              </w:rPr>
              <w:t>Municipal dispatch coordinator</w:t>
            </w:r>
          </w:p>
        </w:tc>
        <w:tc>
          <w:tcPr>
            <w:tcW w:w="3216" w:type="dxa"/>
          </w:tcPr>
          <w:p w14:paraId="172A7EAA" w14:textId="77777777" w:rsidR="0039721F" w:rsidRDefault="00000000">
            <w:pPr>
              <w:spacing w:after="40"/>
            </w:pPr>
            <w:r>
              <w:rPr>
                <w:sz w:val="18"/>
              </w:rPr>
              <w:t xml:space="preserve">A ranked, geographically ordered </w:t>
            </w:r>
            <w:r>
              <w:rPr>
                <w:sz w:val="18"/>
              </w:rPr>
              <w:lastRenderedPageBreak/>
              <w:t>patrol list with a rationale an inspector can act on, and a way to track it to closure</w:t>
            </w:r>
          </w:p>
        </w:tc>
        <w:tc>
          <w:tcPr>
            <w:tcW w:w="3216" w:type="dxa"/>
          </w:tcPr>
          <w:p w14:paraId="5449F029" w14:textId="77777777" w:rsidR="0039721F" w:rsidRDefault="00000000">
            <w:pPr>
              <w:spacing w:after="40"/>
            </w:pPr>
            <w:r>
              <w:rPr>
                <w:rFonts w:ascii="Consolas" w:hAnsi="Consolas"/>
                <w:color w:val="8A2B2B"/>
                <w:sz w:val="18"/>
              </w:rPr>
              <w:lastRenderedPageBreak/>
              <w:t>/enforcement</w:t>
            </w:r>
            <w:r>
              <w:rPr>
                <w:sz w:val="18"/>
              </w:rPr>
              <w:t xml:space="preserve"> (drill trigger, run </w:t>
            </w:r>
            <w:r>
              <w:rPr>
                <w:sz w:val="18"/>
              </w:rPr>
              <w:lastRenderedPageBreak/>
              <w:t>history, dispatch‑status transitions)</w:t>
            </w:r>
          </w:p>
        </w:tc>
      </w:tr>
      <w:tr w:rsidR="0039721F" w14:paraId="2AD97C64" w14:textId="77777777">
        <w:trPr>
          <w:jc w:val="center"/>
        </w:trPr>
        <w:tc>
          <w:tcPr>
            <w:tcW w:w="3216" w:type="dxa"/>
          </w:tcPr>
          <w:p w14:paraId="18F4DD78" w14:textId="77777777" w:rsidR="0039721F" w:rsidRDefault="00000000">
            <w:pPr>
              <w:spacing w:after="40"/>
            </w:pPr>
            <w:r>
              <w:rPr>
                <w:b/>
                <w:sz w:val="18"/>
              </w:rPr>
              <w:lastRenderedPageBreak/>
              <w:t>Environmental analyst / NCAP compliance officer</w:t>
            </w:r>
          </w:p>
        </w:tc>
        <w:tc>
          <w:tcPr>
            <w:tcW w:w="3216" w:type="dxa"/>
          </w:tcPr>
          <w:p w14:paraId="04E10376" w14:textId="77777777" w:rsidR="0039721F" w:rsidRDefault="00000000">
            <w:pPr>
              <w:spacing w:after="40"/>
            </w:pPr>
            <w:r>
              <w:rPr>
                <w:sz w:val="18"/>
              </w:rPr>
              <w:t>Forecast accuracy evidence against a defensible baseline, and per‑source‑category evidence for compliance reporting</w:t>
            </w:r>
          </w:p>
        </w:tc>
        <w:tc>
          <w:tcPr>
            <w:tcW w:w="3216" w:type="dxa"/>
          </w:tcPr>
          <w:p w14:paraId="474E888E" w14:textId="77777777" w:rsidR="0039721F" w:rsidRDefault="00000000">
            <w:pPr>
              <w:spacing w:after="40"/>
            </w:pPr>
            <w:r>
              <w:rPr>
                <w:rFonts w:ascii="Consolas" w:hAnsi="Consolas"/>
                <w:color w:val="8A2B2B"/>
                <w:sz w:val="18"/>
              </w:rPr>
              <w:t>/forecast</w:t>
            </w:r>
            <w:r>
              <w:rPr>
                <w:sz w:val="18"/>
              </w:rPr>
              <w:t xml:space="preserve"> (RMSE table), </w:t>
            </w:r>
            <w:r>
              <w:rPr>
                <w:rFonts w:ascii="Consolas" w:hAnsi="Consolas"/>
                <w:color w:val="8A2B2B"/>
                <w:sz w:val="18"/>
              </w:rPr>
              <w:t>/attribution</w:t>
            </w:r>
            <w:r>
              <w:rPr>
                <w:sz w:val="18"/>
              </w:rPr>
              <w:t xml:space="preserve"> (evidence + confidence)</w:t>
            </w:r>
          </w:p>
        </w:tc>
      </w:tr>
      <w:tr w:rsidR="0039721F" w14:paraId="3D08D95A" w14:textId="77777777">
        <w:trPr>
          <w:jc w:val="center"/>
        </w:trPr>
        <w:tc>
          <w:tcPr>
            <w:tcW w:w="3216" w:type="dxa"/>
          </w:tcPr>
          <w:p w14:paraId="7485C2C5" w14:textId="77777777" w:rsidR="0039721F" w:rsidRDefault="00000000">
            <w:pPr>
              <w:spacing w:after="40"/>
            </w:pPr>
            <w:r>
              <w:rPr>
                <w:b/>
                <w:sz w:val="18"/>
              </w:rPr>
              <w:t>General citizen</w:t>
            </w:r>
          </w:p>
        </w:tc>
        <w:tc>
          <w:tcPr>
            <w:tcW w:w="3216" w:type="dxa"/>
          </w:tcPr>
          <w:p w14:paraId="4A8DF37B" w14:textId="77777777" w:rsidR="0039721F" w:rsidRDefault="00000000">
            <w:pPr>
              <w:spacing w:after="40"/>
            </w:pPr>
            <w:r>
              <w:rPr>
                <w:sz w:val="18"/>
              </w:rPr>
              <w:t>Plain‑language "should I go outside" guidance in their own language</w:t>
            </w:r>
          </w:p>
        </w:tc>
        <w:tc>
          <w:tcPr>
            <w:tcW w:w="3216" w:type="dxa"/>
          </w:tcPr>
          <w:p w14:paraId="42C28F86" w14:textId="77777777" w:rsidR="0039721F" w:rsidRDefault="00000000">
            <w:pPr>
              <w:spacing w:after="40"/>
            </w:pPr>
            <w:r>
              <w:rPr>
                <w:rFonts w:ascii="Consolas" w:hAnsi="Consolas"/>
                <w:color w:val="8A2B2B"/>
                <w:sz w:val="18"/>
              </w:rPr>
              <w:t>/advisory</w:t>
            </w:r>
          </w:p>
        </w:tc>
      </w:tr>
      <w:tr w:rsidR="0039721F" w14:paraId="1FF53C10" w14:textId="77777777">
        <w:trPr>
          <w:jc w:val="center"/>
        </w:trPr>
        <w:tc>
          <w:tcPr>
            <w:tcW w:w="3216" w:type="dxa"/>
          </w:tcPr>
          <w:p w14:paraId="17872B16" w14:textId="77777777" w:rsidR="0039721F" w:rsidRDefault="00000000">
            <w:pPr>
              <w:spacing w:after="40"/>
            </w:pPr>
            <w:r>
              <w:rPr>
                <w:b/>
                <w:sz w:val="18"/>
              </w:rPr>
              <w:t>Vulnerable‑population proxies</w:t>
            </w:r>
            <w:r>
              <w:rPr>
                <w:sz w:val="18"/>
              </w:rPr>
              <w:t xml:space="preserve"> (schools, hospitals, outdoor workers, elderly)</w:t>
            </w:r>
          </w:p>
        </w:tc>
        <w:tc>
          <w:tcPr>
            <w:tcW w:w="3216" w:type="dxa"/>
          </w:tcPr>
          <w:p w14:paraId="378CB938" w14:textId="77777777" w:rsidR="0039721F" w:rsidRDefault="00000000">
            <w:pPr>
              <w:spacing w:after="40"/>
            </w:pPr>
            <w:r>
              <w:rPr>
                <w:sz w:val="18"/>
              </w:rPr>
              <w:t>Health‑risk framing weighted toward their exposure, not a generic city average</w:t>
            </w:r>
          </w:p>
        </w:tc>
        <w:tc>
          <w:tcPr>
            <w:tcW w:w="3216" w:type="dxa"/>
          </w:tcPr>
          <w:p w14:paraId="2CAA6519" w14:textId="77777777" w:rsidR="0039721F" w:rsidRDefault="00000000">
            <w:pPr>
              <w:spacing w:after="40"/>
            </w:pPr>
            <w:r>
              <w:rPr>
                <w:rFonts w:ascii="Consolas" w:hAnsi="Consolas"/>
                <w:color w:val="8A2B2B"/>
                <w:sz w:val="18"/>
              </w:rPr>
              <w:t>/advisory</w:t>
            </w:r>
            <w:r>
              <w:rPr>
                <w:sz w:val="18"/>
              </w:rPr>
              <w:t xml:space="preserve"> today; ward‑level vulnerability overlay is a documented next step (Section 38)</w:t>
            </w:r>
          </w:p>
        </w:tc>
      </w:tr>
      <w:tr w:rsidR="0039721F" w14:paraId="7197F91A" w14:textId="77777777">
        <w:trPr>
          <w:jc w:val="center"/>
        </w:trPr>
        <w:tc>
          <w:tcPr>
            <w:tcW w:w="3216" w:type="dxa"/>
          </w:tcPr>
          <w:p w14:paraId="1E0DEC55" w14:textId="77777777" w:rsidR="0039721F" w:rsidRDefault="00000000">
            <w:pPr>
              <w:spacing w:after="40"/>
            </w:pPr>
            <w:r>
              <w:rPr>
                <w:b/>
                <w:sz w:val="18"/>
              </w:rPr>
              <w:t>Cross‑city policy comparator</w:t>
            </w:r>
            <w:r>
              <w:rPr>
                <w:sz w:val="18"/>
              </w:rPr>
              <w:t xml:space="preserve"> (state/national NCAP office)</w:t>
            </w:r>
          </w:p>
        </w:tc>
        <w:tc>
          <w:tcPr>
            <w:tcW w:w="3216" w:type="dxa"/>
          </w:tcPr>
          <w:p w14:paraId="17304D67" w14:textId="77777777" w:rsidR="0039721F" w:rsidRDefault="00000000">
            <w:pPr>
              <w:spacing w:after="40"/>
            </w:pPr>
            <w:r>
              <w:rPr>
                <w:sz w:val="18"/>
              </w:rPr>
              <w:t>Compare intervention effectiveness across metros</w:t>
            </w:r>
          </w:p>
        </w:tc>
        <w:tc>
          <w:tcPr>
            <w:tcW w:w="3216" w:type="dxa"/>
          </w:tcPr>
          <w:p w14:paraId="331617B3" w14:textId="77777777" w:rsidR="0039721F" w:rsidRDefault="00000000">
            <w:pPr>
              <w:spacing w:after="40"/>
            </w:pPr>
            <w:r>
              <w:rPr>
                <w:rFonts w:ascii="Consolas" w:hAnsi="Consolas"/>
                <w:color w:val="8A2B2B"/>
                <w:sz w:val="18"/>
              </w:rPr>
              <w:t>/cities</w:t>
            </w:r>
            <w:r>
              <w:rPr>
                <w:sz w:val="18"/>
              </w:rPr>
              <w:t xml:space="preserve"> (Delhi NCR live; Mumbai and further cities as onboarding proceeds)</w:t>
            </w:r>
          </w:p>
        </w:tc>
      </w:tr>
      <w:tr w:rsidR="0039721F" w14:paraId="17E09B03" w14:textId="77777777">
        <w:trPr>
          <w:jc w:val="center"/>
        </w:trPr>
        <w:tc>
          <w:tcPr>
            <w:tcW w:w="3216" w:type="dxa"/>
          </w:tcPr>
          <w:p w14:paraId="6E3C5ACC" w14:textId="77777777" w:rsidR="0039721F" w:rsidRDefault="00000000">
            <w:pPr>
              <w:spacing w:after="40"/>
            </w:pPr>
            <w:r>
              <w:rPr>
                <w:b/>
                <w:sz w:val="18"/>
              </w:rPr>
              <w:t>Engineering team onboarding a new city</w:t>
            </w:r>
          </w:p>
        </w:tc>
        <w:tc>
          <w:tcPr>
            <w:tcW w:w="3216" w:type="dxa"/>
          </w:tcPr>
          <w:p w14:paraId="1C7423CC" w14:textId="77777777" w:rsidR="0039721F" w:rsidRDefault="00000000">
            <w:pPr>
              <w:spacing w:after="40"/>
            </w:pPr>
            <w:r>
              <w:rPr>
                <w:sz w:val="18"/>
              </w:rPr>
              <w:t>A checklist that does not require touching ingestion/model/agent code</w:t>
            </w:r>
          </w:p>
        </w:tc>
        <w:tc>
          <w:tcPr>
            <w:tcW w:w="3216" w:type="dxa"/>
          </w:tcPr>
          <w:p w14:paraId="2E8DFAF0" w14:textId="77777777" w:rsidR="0039721F" w:rsidRDefault="00000000">
            <w:pPr>
              <w:spacing w:after="40"/>
            </w:pPr>
            <w:r>
              <w:rPr>
                <w:rFonts w:ascii="Consolas" w:hAnsi="Consolas"/>
                <w:color w:val="8A2B2B"/>
                <w:sz w:val="18"/>
              </w:rPr>
              <w:t>backend/app/ingestion/cities.py</w:t>
            </w:r>
            <w:r>
              <w:rPr>
                <w:sz w:val="18"/>
              </w:rPr>
              <w:t xml:space="preserve"> — a bounding box + UTM zone entry (Section 28)</w:t>
            </w:r>
          </w:p>
        </w:tc>
      </w:tr>
    </w:tbl>
    <w:p w14:paraId="1EA7830E" w14:textId="77777777" w:rsidR="0039721F" w:rsidRDefault="0039721F">
      <w:pPr>
        <w:spacing w:after="80"/>
      </w:pPr>
    </w:p>
    <w:p w14:paraId="1B5B7612" w14:textId="77777777" w:rsidR="0039721F" w:rsidRDefault="00000000">
      <w:pPr>
        <w:pStyle w:val="Heading1"/>
      </w:pPr>
      <w:r>
        <w:t>9. Functional Requirements</w:t>
      </w:r>
    </w:p>
    <w:p w14:paraId="1ECD5D0B" w14:textId="77777777" w:rsidR="0039721F" w:rsidRDefault="00000000">
      <w:pPr>
        <w:pStyle w:val="ListNumber"/>
        <w:numPr>
          <w:ilvl w:val="0"/>
          <w:numId w:val="11"/>
        </w:numPr>
      </w:pPr>
      <w:r>
        <w:t>Ingest CAAQMS‑proxy sensor readings (pm25, pm10, no2, so2, co, o3) hourly, with gap‑filling for dropouts under 3 hours.</w:t>
      </w:r>
    </w:p>
    <w:p w14:paraId="477733EE" w14:textId="77777777" w:rsidR="0039721F" w:rsidRDefault="00000000">
      <w:pPr>
        <w:pStyle w:val="ListNumber"/>
      </w:pPr>
      <w:r>
        <w:t>Ingest active‑fire detections (VIIRS/MODIS via NASA FIRMS) every 3 hours with confidence, FRP, and day/night flag.</w:t>
      </w:r>
    </w:p>
    <w:p w14:paraId="43100F7F" w14:textId="77777777" w:rsidR="0039721F" w:rsidRDefault="00000000">
      <w:pPr>
        <w:pStyle w:val="ListNumber"/>
      </w:pPr>
      <w:r>
        <w:t>Ingest meteorology (wind speed/direction, temperature, relative humidity) hourly per city.</w:t>
      </w:r>
    </w:p>
    <w:p w14:paraId="5A2F5367" w14:textId="77777777" w:rsidR="0039721F" w:rsidRDefault="00000000">
      <w:pPr>
        <w:pStyle w:val="ListNumber"/>
      </w:pPr>
      <w:r>
        <w:t>Ingest OSM land‑use/road vectors (industrial, residential, primary/trunk highways) monthly.</w:t>
      </w:r>
    </w:p>
    <w:p w14:paraId="649F6F35" w14:textId="77777777" w:rsidR="0039721F" w:rsidRDefault="00000000">
      <w:pPr>
        <w:pStyle w:val="ListNumber"/>
      </w:pPr>
      <w:r>
        <w:t>Ingest Sentinel‑5P NO2/SO2 product catalog metadata daily.</w:t>
      </w:r>
    </w:p>
    <w:p w14:paraId="537A2775" w14:textId="77777777" w:rsidR="0039721F" w:rsidRDefault="00000000">
      <w:pPr>
        <w:pStyle w:val="ListNumber"/>
      </w:pPr>
      <w:r>
        <w:t>Generate a deterministic, idempotent 1&amp;nbsp;km grid over a city's bounding box and interpolate the latest hour of sensor data onto every cell via IDW, exposing the contributing‑sensor count per cell.</w:t>
      </w:r>
    </w:p>
    <w:p w14:paraId="1048A03A" w14:textId="77777777" w:rsidR="0039721F" w:rsidRDefault="00000000">
      <w:pPr>
        <w:pStyle w:val="ListNumber"/>
      </w:pPr>
      <w:r>
        <w:t>Assemble an hourly, channel‑labelled feature cube per city with no silently zero‑filled data.</w:t>
      </w:r>
    </w:p>
    <w:p w14:paraId="4D379A0D" w14:textId="77777777" w:rsidR="0039721F" w:rsidRDefault="00000000">
      <w:pPr>
        <w:pStyle w:val="ListNumber"/>
      </w:pPr>
      <w:r>
        <w:t>Train and serve a forecasting model that produces a full‑grid PM2.5 forecast for 1–72 hour horizons in well under the time budget for interactive use, and report RMSE against a persistence baseline.</w:t>
      </w:r>
    </w:p>
    <w:p w14:paraId="691DBB6A" w14:textId="77777777" w:rsidR="0039721F" w:rsidRDefault="00000000">
      <w:pPr>
        <w:pStyle w:val="ListNumber"/>
      </w:pPr>
      <w:r>
        <w:t>Detect anomalies against a configurable threshold (or an injectable synthetic anomaly for demos) and run a three‑agent pipeline producing a typed attribution and a typed enforcement plan.</w:t>
      </w:r>
    </w:p>
    <w:p w14:paraId="34ABB16B" w14:textId="77777777" w:rsidR="0039721F" w:rsidRDefault="00000000">
      <w:pPr>
        <w:pStyle w:val="ListNumber"/>
      </w:pPr>
      <w:r>
        <w:t>Persist every agent run and support a dispatch‑status lifecycle (new → dispatched → inspected → closed) with timestamps.</w:t>
      </w:r>
    </w:p>
    <w:p w14:paraId="39C21C87" w14:textId="77777777" w:rsidR="0039721F" w:rsidRDefault="00000000">
      <w:pPr>
        <w:pStyle w:val="ListNumber"/>
      </w:pPr>
      <w:r>
        <w:t>Serve a citizen advisory in six languages from the current gridded state, with a deterministic fallback whenever the LLM is unavailable.</w:t>
      </w:r>
    </w:p>
    <w:p w14:paraId="66CD4BE5" w14:textId="77777777" w:rsidR="0039721F" w:rsidRDefault="00000000">
      <w:pPr>
        <w:pStyle w:val="ListNumber"/>
      </w:pPr>
      <w:r>
        <w:t>Present all of the above in a dashboard with a live map, a forecast explorer, an attribution browser, an enforcement panel, a citizen advisory page, a multi‑city comparison page, and a data/pipeline status page.</w:t>
      </w:r>
    </w:p>
    <w:p w14:paraId="6CE57CC3" w14:textId="77777777" w:rsidR="0039721F" w:rsidRDefault="00000000">
      <w:pPr>
        <w:pStyle w:val="Heading1"/>
      </w:pPr>
      <w:r>
        <w:t>10. Non-Functional Requirements</w:t>
      </w:r>
    </w:p>
    <w:tbl>
      <w:tblPr>
        <w:tblStyle w:val="TableGrid"/>
        <w:tblW w:w="0" w:type="auto"/>
        <w:jc w:val="center"/>
        <w:tblLook w:val="04A0" w:firstRow="1" w:lastRow="0" w:firstColumn="1" w:lastColumn="0" w:noHBand="0" w:noVBand="1"/>
      </w:tblPr>
      <w:tblGrid>
        <w:gridCol w:w="4824"/>
        <w:gridCol w:w="4824"/>
      </w:tblGrid>
      <w:tr w:rsidR="0039721F" w14:paraId="2E9CE073" w14:textId="77777777">
        <w:trPr>
          <w:jc w:val="center"/>
        </w:trPr>
        <w:tc>
          <w:tcPr>
            <w:tcW w:w="4824" w:type="dxa"/>
            <w:shd w:val="clear" w:color="auto" w:fill="E4DEFF"/>
          </w:tcPr>
          <w:p w14:paraId="3AF0263F" w14:textId="77777777" w:rsidR="0039721F" w:rsidRDefault="00000000">
            <w:pPr>
              <w:spacing w:after="40"/>
            </w:pPr>
            <w:r>
              <w:rPr>
                <w:b/>
                <w:sz w:val="18"/>
              </w:rPr>
              <w:t>Requirement</w:t>
            </w:r>
          </w:p>
        </w:tc>
        <w:tc>
          <w:tcPr>
            <w:tcW w:w="4824" w:type="dxa"/>
            <w:shd w:val="clear" w:color="auto" w:fill="E4DEFF"/>
          </w:tcPr>
          <w:p w14:paraId="29F81DD3" w14:textId="77777777" w:rsidR="0039721F" w:rsidRDefault="00000000">
            <w:pPr>
              <w:spacing w:after="40"/>
            </w:pPr>
            <w:r>
              <w:rPr>
                <w:b/>
                <w:sz w:val="18"/>
              </w:rPr>
              <w:t>How it is met today</w:t>
            </w:r>
          </w:p>
        </w:tc>
      </w:tr>
      <w:tr w:rsidR="0039721F" w14:paraId="5CCC89A4" w14:textId="77777777">
        <w:trPr>
          <w:jc w:val="center"/>
        </w:trPr>
        <w:tc>
          <w:tcPr>
            <w:tcW w:w="4824" w:type="dxa"/>
          </w:tcPr>
          <w:p w14:paraId="535B697A" w14:textId="77777777" w:rsidR="0039721F" w:rsidRDefault="00000000">
            <w:pPr>
              <w:spacing w:after="40"/>
            </w:pPr>
            <w:r>
              <w:rPr>
                <w:b/>
                <w:sz w:val="18"/>
              </w:rPr>
              <w:t>Reliability without external keys</w:t>
            </w:r>
          </w:p>
        </w:tc>
        <w:tc>
          <w:tcPr>
            <w:tcW w:w="4824" w:type="dxa"/>
          </w:tcPr>
          <w:p w14:paraId="74EA5505" w14:textId="77777777" w:rsidR="0039721F" w:rsidRDefault="00000000">
            <w:pPr>
              <w:spacing w:after="40"/>
            </w:pPr>
            <w:r>
              <w:rPr>
                <w:sz w:val="18"/>
              </w:rPr>
              <w:t>Every LLM call and every external ingestion boundary has a deterministic fallback or is fully mocked in tests; the platform functions (with degraded copy) even with zero API keys configured.</w:t>
            </w:r>
          </w:p>
        </w:tc>
      </w:tr>
      <w:tr w:rsidR="0039721F" w14:paraId="605BF353" w14:textId="77777777">
        <w:trPr>
          <w:jc w:val="center"/>
        </w:trPr>
        <w:tc>
          <w:tcPr>
            <w:tcW w:w="4824" w:type="dxa"/>
          </w:tcPr>
          <w:p w14:paraId="2DC936EA" w14:textId="77777777" w:rsidR="0039721F" w:rsidRDefault="00000000">
            <w:pPr>
              <w:spacing w:after="40"/>
            </w:pPr>
            <w:r>
              <w:rPr>
                <w:b/>
                <w:sz w:val="18"/>
              </w:rPr>
              <w:t>Idempotency</w:t>
            </w:r>
          </w:p>
        </w:tc>
        <w:tc>
          <w:tcPr>
            <w:tcW w:w="4824" w:type="dxa"/>
          </w:tcPr>
          <w:p w14:paraId="1B4C7CC9" w14:textId="77777777" w:rsidR="0039721F" w:rsidRDefault="00000000">
            <w:pPr>
              <w:spacing w:after="40"/>
            </w:pPr>
            <w:r>
              <w:rPr>
                <w:sz w:val="18"/>
              </w:rPr>
              <w:t>Grid generation and cube‑manifest writes are upserts; re‑running never duplicates rows.</w:t>
            </w:r>
          </w:p>
        </w:tc>
      </w:tr>
      <w:tr w:rsidR="0039721F" w14:paraId="6957E473" w14:textId="77777777">
        <w:trPr>
          <w:jc w:val="center"/>
        </w:trPr>
        <w:tc>
          <w:tcPr>
            <w:tcW w:w="4824" w:type="dxa"/>
          </w:tcPr>
          <w:p w14:paraId="42929BDB" w14:textId="77777777" w:rsidR="0039721F" w:rsidRDefault="00000000">
            <w:pPr>
              <w:spacing w:after="40"/>
            </w:pPr>
            <w:r>
              <w:rPr>
                <w:b/>
                <w:sz w:val="18"/>
              </w:rPr>
              <w:lastRenderedPageBreak/>
              <w:t>Latency</w:t>
            </w:r>
          </w:p>
        </w:tc>
        <w:tc>
          <w:tcPr>
            <w:tcW w:w="4824" w:type="dxa"/>
          </w:tcPr>
          <w:p w14:paraId="0D71FF32" w14:textId="77777777" w:rsidR="0039721F" w:rsidRDefault="00000000">
            <w:pPr>
              <w:spacing w:after="40"/>
            </w:pPr>
            <w:r>
              <w:rPr>
                <w:sz w:val="18"/>
              </w:rPr>
              <w:t xml:space="preserve">Forecast serving loads only the last </w:t>
            </w:r>
            <w:r>
              <w:rPr>
                <w:rFonts w:ascii="Consolas" w:hAnsi="Consolas"/>
                <w:color w:val="8A2B2B"/>
                <w:sz w:val="18"/>
              </w:rPr>
              <w:t>window</w:t>
            </w:r>
            <w:r>
              <w:rPr>
                <w:sz w:val="18"/>
              </w:rPr>
              <w:t xml:space="preserve"> cubes (not full history) and caches the model by checkpoint mtime; the acceptance target for full‑grid inference is under 2 seconds.</w:t>
            </w:r>
          </w:p>
        </w:tc>
      </w:tr>
      <w:tr w:rsidR="0039721F" w14:paraId="2E169D97" w14:textId="77777777">
        <w:trPr>
          <w:jc w:val="center"/>
        </w:trPr>
        <w:tc>
          <w:tcPr>
            <w:tcW w:w="4824" w:type="dxa"/>
          </w:tcPr>
          <w:p w14:paraId="6BE3EDF6" w14:textId="77777777" w:rsidR="0039721F" w:rsidRDefault="00000000">
            <w:pPr>
              <w:spacing w:after="40"/>
            </w:pPr>
            <w:r>
              <w:rPr>
                <w:b/>
                <w:sz w:val="18"/>
              </w:rPr>
              <w:t>Data integrity</w:t>
            </w:r>
          </w:p>
        </w:tc>
        <w:tc>
          <w:tcPr>
            <w:tcW w:w="4824" w:type="dxa"/>
          </w:tcPr>
          <w:p w14:paraId="222CDC92" w14:textId="77777777" w:rsidR="0039721F" w:rsidRDefault="00000000">
            <w:pPr>
              <w:spacing w:after="40"/>
            </w:pPr>
            <w:r>
              <w:rPr>
                <w:sz w:val="18"/>
              </w:rPr>
              <w:t>Missing data is NaN‑flagged end‑to‑end (ingestion → cube → training mask), never mean‑ or zero‑filled, so the model is never dragged toward a false average.</w:t>
            </w:r>
          </w:p>
        </w:tc>
      </w:tr>
      <w:tr w:rsidR="0039721F" w14:paraId="6D7A6CD9" w14:textId="77777777">
        <w:trPr>
          <w:jc w:val="center"/>
        </w:trPr>
        <w:tc>
          <w:tcPr>
            <w:tcW w:w="4824" w:type="dxa"/>
          </w:tcPr>
          <w:p w14:paraId="34A86773" w14:textId="77777777" w:rsidR="0039721F" w:rsidRDefault="00000000">
            <w:pPr>
              <w:spacing w:after="40"/>
            </w:pPr>
            <w:r>
              <w:rPr>
                <w:b/>
                <w:sz w:val="18"/>
              </w:rPr>
              <w:t>Honesty of evaluation</w:t>
            </w:r>
          </w:p>
        </w:tc>
        <w:tc>
          <w:tcPr>
            <w:tcW w:w="4824" w:type="dxa"/>
          </w:tcPr>
          <w:p w14:paraId="3B956618" w14:textId="77777777" w:rsidR="0039721F" w:rsidRDefault="00000000">
            <w:pPr>
              <w:spacing w:after="40"/>
            </w:pPr>
            <w:r>
              <w:rPr>
                <w:sz w:val="18"/>
              </w:rPr>
              <w:t>RMSE is computed on a joint mask shared between the model and the persistence baseline so neither is unfairly advantaged (Section 32).</w:t>
            </w:r>
          </w:p>
        </w:tc>
      </w:tr>
      <w:tr w:rsidR="0039721F" w14:paraId="747AF0EF" w14:textId="77777777">
        <w:trPr>
          <w:jc w:val="center"/>
        </w:trPr>
        <w:tc>
          <w:tcPr>
            <w:tcW w:w="4824" w:type="dxa"/>
          </w:tcPr>
          <w:p w14:paraId="0CAEC1A3" w14:textId="77777777" w:rsidR="0039721F" w:rsidRDefault="00000000">
            <w:pPr>
              <w:spacing w:after="40"/>
            </w:pPr>
            <w:r>
              <w:rPr>
                <w:b/>
                <w:sz w:val="18"/>
              </w:rPr>
              <w:t>Accessibility</w:t>
            </w:r>
          </w:p>
        </w:tc>
        <w:tc>
          <w:tcPr>
            <w:tcW w:w="4824" w:type="dxa"/>
          </w:tcPr>
          <w:p w14:paraId="274746FC" w14:textId="77777777" w:rsidR="0039721F" w:rsidRDefault="00000000">
            <w:pPr>
              <w:spacing w:after="40"/>
            </w:pPr>
            <w:r>
              <w:rPr>
                <w:sz w:val="18"/>
              </w:rPr>
              <w:t xml:space="preserve">Skip‑to‑content link, </w:t>
            </w:r>
            <w:r>
              <w:rPr>
                <w:rFonts w:ascii="Consolas" w:hAnsi="Consolas"/>
                <w:color w:val="8A2B2B"/>
                <w:sz w:val="18"/>
              </w:rPr>
              <w:t>aria-current</w:t>
            </w:r>
            <w:r>
              <w:rPr>
                <w:sz w:val="18"/>
              </w:rPr>
              <w:t xml:space="preserve"> navigation, </w:t>
            </w:r>
            <w:r>
              <w:rPr>
                <w:rFonts w:ascii="Consolas" w:hAnsi="Consolas"/>
                <w:color w:val="8A2B2B"/>
                <w:sz w:val="18"/>
              </w:rPr>
              <w:t>role="radiogroup"</w:t>
            </w:r>
            <w:r>
              <w:rPr>
                <w:sz w:val="18"/>
              </w:rPr>
              <w:t xml:space="preserve"> toggle groups, </w:t>
            </w:r>
            <w:r>
              <w:rPr>
                <w:rFonts w:ascii="Consolas" w:hAnsi="Consolas"/>
                <w:color w:val="8A2B2B"/>
                <w:sz w:val="18"/>
              </w:rPr>
              <w:t>aria-live</w:t>
            </w:r>
            <w:r>
              <w:rPr>
                <w:sz w:val="18"/>
              </w:rPr>
              <w:t xml:space="preserve"> map‑selection region, </w:t>
            </w:r>
            <w:r>
              <w:rPr>
                <w:rFonts w:ascii="Consolas" w:hAnsi="Consolas"/>
                <w:color w:val="8A2B2B"/>
                <w:sz w:val="18"/>
              </w:rPr>
              <w:t>lang</w:t>
            </w:r>
            <w:r>
              <w:rPr>
                <w:sz w:val="18"/>
              </w:rPr>
              <w:t xml:space="preserve"> attributes on translated advisory text, </w:t>
            </w:r>
            <w:r>
              <w:rPr>
                <w:rFonts w:ascii="Consolas" w:hAnsi="Consolas"/>
                <w:color w:val="8A2B2B"/>
                <w:sz w:val="18"/>
              </w:rPr>
              <w:t>prefers-reduced-motion</w:t>
            </w:r>
            <w:r>
              <w:rPr>
                <w:sz w:val="18"/>
              </w:rPr>
              <w:t xml:space="preserve"> compliance throughout the motion layer.</w:t>
            </w:r>
          </w:p>
        </w:tc>
      </w:tr>
      <w:tr w:rsidR="0039721F" w14:paraId="37DB14D4" w14:textId="77777777">
        <w:trPr>
          <w:jc w:val="center"/>
        </w:trPr>
        <w:tc>
          <w:tcPr>
            <w:tcW w:w="4824" w:type="dxa"/>
          </w:tcPr>
          <w:p w14:paraId="2B79F44A" w14:textId="77777777" w:rsidR="0039721F" w:rsidRDefault="00000000">
            <w:pPr>
              <w:spacing w:after="40"/>
            </w:pPr>
            <w:r>
              <w:rPr>
                <w:b/>
                <w:sz w:val="18"/>
              </w:rPr>
              <w:t>Testability</w:t>
            </w:r>
          </w:p>
        </w:tc>
        <w:tc>
          <w:tcPr>
            <w:tcW w:w="4824" w:type="dxa"/>
          </w:tcPr>
          <w:p w14:paraId="009D9148" w14:textId="77777777" w:rsidR="0039721F" w:rsidRDefault="00000000">
            <w:pPr>
              <w:spacing w:after="40"/>
            </w:pPr>
            <w:r>
              <w:rPr>
                <w:sz w:val="18"/>
              </w:rPr>
              <w:t>59 automated tests, all external HTTP boundaries mocked (</w:t>
            </w:r>
            <w:r>
              <w:rPr>
                <w:rFonts w:ascii="Consolas" w:hAnsi="Consolas"/>
                <w:color w:val="8A2B2B"/>
                <w:sz w:val="18"/>
              </w:rPr>
              <w:t>respx</w:t>
            </w:r>
            <w:r>
              <w:rPr>
                <w:sz w:val="18"/>
              </w:rPr>
              <w:t>), so CI needs no live network access or API keys.</w:t>
            </w:r>
          </w:p>
        </w:tc>
      </w:tr>
      <w:tr w:rsidR="0039721F" w14:paraId="244241F9" w14:textId="77777777">
        <w:trPr>
          <w:jc w:val="center"/>
        </w:trPr>
        <w:tc>
          <w:tcPr>
            <w:tcW w:w="4824" w:type="dxa"/>
          </w:tcPr>
          <w:p w14:paraId="6ABAE028" w14:textId="77777777" w:rsidR="0039721F" w:rsidRDefault="00000000">
            <w:pPr>
              <w:spacing w:after="40"/>
            </w:pPr>
            <w:r>
              <w:rPr>
                <w:b/>
                <w:sz w:val="18"/>
              </w:rPr>
              <w:t>Portability of training</w:t>
            </w:r>
          </w:p>
        </w:tc>
        <w:tc>
          <w:tcPr>
            <w:tcW w:w="4824" w:type="dxa"/>
          </w:tcPr>
          <w:p w14:paraId="1E364D5A" w14:textId="77777777" w:rsidR="0039721F" w:rsidRDefault="00000000">
            <w:pPr>
              <w:spacing w:after="40"/>
            </w:pPr>
            <w:r>
              <w:rPr>
                <w:sz w:val="18"/>
              </w:rPr>
              <w:t xml:space="preserve">The training entrypoint runs from a bare directory of </w:t>
            </w:r>
            <w:r>
              <w:rPr>
                <w:rFonts w:ascii="Consolas" w:hAnsi="Consolas"/>
                <w:color w:val="8A2B2B"/>
                <w:sz w:val="18"/>
              </w:rPr>
              <w:t>.npy</w:t>
            </w:r>
            <w:r>
              <w:rPr>
                <w:sz w:val="18"/>
              </w:rPr>
              <w:t xml:space="preserve"> cubes with only numpy + torch — no database, no pip installs beyond what Kaggle/Colab ship with by default.</w:t>
            </w:r>
          </w:p>
        </w:tc>
      </w:tr>
      <w:tr w:rsidR="0039721F" w14:paraId="7E921C92" w14:textId="77777777">
        <w:trPr>
          <w:jc w:val="center"/>
        </w:trPr>
        <w:tc>
          <w:tcPr>
            <w:tcW w:w="4824" w:type="dxa"/>
          </w:tcPr>
          <w:p w14:paraId="1CE9C3DA" w14:textId="77777777" w:rsidR="0039721F" w:rsidRDefault="00000000">
            <w:pPr>
              <w:spacing w:after="40"/>
            </w:pPr>
            <w:r>
              <w:rPr>
                <w:b/>
                <w:sz w:val="18"/>
              </w:rPr>
              <w:t>Multi‑city readiness</w:t>
            </w:r>
          </w:p>
        </w:tc>
        <w:tc>
          <w:tcPr>
            <w:tcW w:w="4824" w:type="dxa"/>
          </w:tcPr>
          <w:p w14:paraId="4F0B463B" w14:textId="77777777" w:rsidR="0039721F" w:rsidRDefault="00000000">
            <w:pPr>
              <w:spacing w:after="40"/>
            </w:pPr>
            <w:r>
              <w:rPr>
                <w:sz w:val="18"/>
              </w:rPr>
              <w:t xml:space="preserve">Every table, every route, and the model checkpoint filename itself are keyed by </w:t>
            </w:r>
            <w:r>
              <w:rPr>
                <w:rFonts w:ascii="Consolas" w:hAnsi="Consolas"/>
                <w:color w:val="8A2B2B"/>
                <w:sz w:val="18"/>
              </w:rPr>
              <w:t>city_slug</w:t>
            </w:r>
            <w:r>
              <w:rPr>
                <w:sz w:val="18"/>
              </w:rPr>
              <w:t>.</w:t>
            </w:r>
          </w:p>
        </w:tc>
      </w:tr>
    </w:tbl>
    <w:p w14:paraId="465F16C2" w14:textId="77777777" w:rsidR="0039721F" w:rsidRDefault="0039721F">
      <w:pPr>
        <w:spacing w:after="80"/>
      </w:pPr>
    </w:p>
    <w:p w14:paraId="48F8E4EC" w14:textId="77777777" w:rsidR="0039721F" w:rsidRDefault="00000000">
      <w:pPr>
        <w:pStyle w:val="Heading1"/>
      </w:pPr>
      <w:r>
        <w:t>11. System Overview</w:t>
      </w:r>
    </w:p>
    <w:p w14:paraId="0F73006A" w14:textId="77777777" w:rsidR="0039721F" w:rsidRDefault="00000000">
      <w:r>
        <w:t xml:space="preserve">UrbanAir Intel is a three‑tier system: (1) a </w:t>
      </w:r>
      <w:r>
        <w:rPr>
          <w:b/>
        </w:rPr>
        <w:t>data plane</w:t>
      </w:r>
      <w:r>
        <w:t xml:space="preserve"> of five source‑specific ingestion pullers landing raw readings in PostGIS on their own real‑world cadences; (2) an </w:t>
      </w:r>
      <w:r>
        <w:rPr>
          <w:b/>
        </w:rPr>
        <w:t>intelligence plane</w:t>
      </w:r>
      <w:r>
        <w:t xml:space="preserve"> that turns that raw data into a shared 1&amp;nbsp;km spatial index, then into feature cubes, then into forecasts, source attributions, and enforcement plans; and (3) a </w:t>
      </w:r>
      <w:r>
        <w:rPr>
          <w:b/>
        </w:rPr>
        <w:t>presentation plane</w:t>
      </w:r>
      <w:r>
        <w:t xml:space="preserve"> — a Next.js dashboard and a documented, typed HTTP API — that renders exactly the objects the intelligence plane produced, including the evidence an agent reasoned over. A single spatial key (</w:t>
      </w:r>
      <w:r>
        <w:rPr>
          <w:rFonts w:ascii="Consolas" w:hAnsi="Consolas"/>
          <w:color w:val="8A2B2B"/>
          <w:sz w:val="19"/>
        </w:rPr>
        <w:t>grid_cells.grid_id</w:t>
      </w:r>
      <w:r>
        <w:t xml:space="preserve">, addressable by </w:t>
      </w:r>
      <w:r>
        <w:rPr>
          <w:rFonts w:ascii="Consolas" w:hAnsi="Consolas"/>
          <w:color w:val="8A2B2B"/>
          <w:sz w:val="19"/>
        </w:rPr>
        <w:t>row_idx</w:t>
      </w:r>
      <w:r>
        <w:t>/</w:t>
      </w:r>
      <w:r>
        <w:rPr>
          <w:rFonts w:ascii="Consolas" w:hAnsi="Consolas"/>
          <w:color w:val="8A2B2B"/>
          <w:sz w:val="19"/>
        </w:rPr>
        <w:t>col_idx</w:t>
      </w:r>
      <w:r>
        <w:t>) threads every plane together, which is what makes the forecast, the attribution, and the enforcement route three views of one state rather than three separate systems.</w:t>
      </w:r>
    </w:p>
    <w:p w14:paraId="49E38B58" w14:textId="77777777" w:rsidR="0039721F" w:rsidRDefault="00000000">
      <w:pPr>
        <w:pStyle w:val="Heading1"/>
      </w:pPr>
      <w:r>
        <w:t>12. Proposed Solution</w:t>
      </w:r>
    </w:p>
    <w:p w14:paraId="39658895" w14:textId="77777777" w:rsidR="0039721F" w:rsidRDefault="00000000">
      <w:r>
        <w:t xml:space="preserve">Rather than building a single "AQI predictor," the platform builds the </w:t>
      </w:r>
      <w:r>
        <w:rPr>
          <w:b/>
        </w:rPr>
        <w:t>shared digital twin first</w:t>
      </w:r>
      <w:r>
        <w:t xml:space="preserve"> (grid + feature cubes) and treats forecasting, attribution, and enforcement as three consumers of that twin:</w:t>
      </w:r>
    </w:p>
    <w:p w14:paraId="07359F43" w14:textId="77777777" w:rsidR="0039721F" w:rsidRDefault="00000000">
      <w:pPr>
        <w:pStyle w:val="ListBullet"/>
      </w:pPr>
      <w:r>
        <w:rPr>
          <w:b/>
        </w:rPr>
        <w:t>Forecast</w:t>
      </w:r>
      <w:r>
        <w:t xml:space="preserve"> answers *"what will this cell look like?"* — a ConvLSTM trained on the twin's time series.</w:t>
      </w:r>
    </w:p>
    <w:p w14:paraId="2F2B8CBB" w14:textId="77777777" w:rsidR="0039721F" w:rsidRDefault="00000000">
      <w:pPr>
        <w:pStyle w:val="ListBullet"/>
      </w:pPr>
      <w:r>
        <w:rPr>
          <w:b/>
        </w:rPr>
        <w:t>Attribution</w:t>
      </w:r>
      <w:r>
        <w:t xml:space="preserve"> answers *"why does this cell look like this, right now?"* — a deterministic evidence‑scoring pass over the same twin's fire, land‑use, and wind data, with an LLM writing the human‑readable rationale on top of (not instead of) the computed scores.</w:t>
      </w:r>
    </w:p>
    <w:p w14:paraId="34C2AF09" w14:textId="77777777" w:rsidR="0039721F" w:rsidRDefault="00000000">
      <w:pPr>
        <w:pStyle w:val="ListBullet"/>
      </w:pPr>
      <w:r>
        <w:rPr>
          <w:b/>
        </w:rPr>
        <w:t>Enforcement</w:t>
      </w:r>
      <w:r>
        <w:t xml:space="preserve"> answers *"given the why, where should an inspector go next, and in what order?"* — a residential‑density‑weighted ranking and nearest‑neighbour route over the same twin.</w:t>
      </w:r>
    </w:p>
    <w:p w14:paraId="2BC1C297" w14:textId="77777777" w:rsidR="0039721F" w:rsidRDefault="00000000">
      <w:pPr>
        <w:pStyle w:val="ListBullet"/>
      </w:pPr>
      <w:r>
        <w:rPr>
          <w:b/>
        </w:rPr>
        <w:t>Advisory</w:t>
      </w:r>
      <w:r>
        <w:t xml:space="preserve"> answers *"what should a resident do?"* — the twin's current mean/peak PM2.5 mapped to CPCB bands and translated into calm, actionable, script‑correct language.</w:t>
      </w:r>
    </w:p>
    <w:p w14:paraId="4352D7EC" w14:textId="77777777" w:rsidR="0039721F" w:rsidRDefault="00000000">
      <w:r>
        <w:t xml:space="preserve">Because all four consumers read the same </w:t>
      </w:r>
      <w:r>
        <w:rPr>
          <w:rFonts w:ascii="Consolas" w:hAnsi="Consolas"/>
          <w:color w:val="8A2B2B"/>
          <w:sz w:val="19"/>
        </w:rPr>
        <w:t>grid_id</w:t>
      </w:r>
      <w:r>
        <w:t>‑indexed state, a judge (or an administrator) can click one map cell and see its forecast, its attribution evidence, and its enforcement priority together — the "combination that does not exist today," per the problem brief.</w:t>
      </w:r>
    </w:p>
    <w:p w14:paraId="5C3253FF" w14:textId="77777777" w:rsidR="0039721F" w:rsidRDefault="00000000">
      <w:r>
        <w:lastRenderedPageBreak/>
        <w:t>What Sections 12.1 above and Sections 13–36 describe in detail is a working prototype, not the ceiling of the idea. It scopes deliberately to what could be built, ingested, trained, and demoed honestly inside a hackathon window: one city, five real pipelines, one trained forecaster, one enforcement pipeline, six languages. The proposal this platform is actually arguing for is larger — a permanent, national-scale operating layer that any State Pollution Control Board could stand up over its own CAAQMS network, using this build as the reference implementation rather than the finished product. That larger proposal is laid out below, deliberately separated from the “built today” claims made elsewhere in this document so the two are never confused.</w:t>
      </w:r>
    </w:p>
    <w:p w14:paraId="11CD409F" w14:textId="77777777" w:rsidR="0039721F" w:rsidRDefault="00000000">
      <w:r>
        <w:rPr>
          <w:b/>
        </w:rPr>
        <w:t>The Full Proposal: A National Airshed Intelligence Grid</w:t>
      </w:r>
    </w:p>
    <w:p w14:paraId="0A34C538" w14:textId="77777777" w:rsidR="0039721F" w:rsidRDefault="00000000">
      <w:pPr>
        <w:pStyle w:val="ListNumber"/>
        <w:numPr>
          <w:ilvl w:val="0"/>
          <w:numId w:val="17"/>
        </w:numPr>
      </w:pPr>
      <w:r>
        <w:rPr>
          <w:b/>
        </w:rPr>
        <w:t>National multi-city digital twin.</w:t>
      </w:r>
      <w:r>
        <w:t xml:space="preserve"> Every NCAP non-attainment city (currently 131 cities) run on the identical city_slug-partitioned schema (Section 28) already in this codebase, so the marginal cost of city #50 is an ingestion backfill and a training run, not new engineering — one control plane, not 131 point solutions.</w:t>
      </w:r>
    </w:p>
    <w:p w14:paraId="257EA453" w14:textId="77777777" w:rsidR="0039721F" w:rsidRDefault="00000000">
      <w:pPr>
        <w:pStyle w:val="ListNumber"/>
      </w:pPr>
      <w:r>
        <w:rPr>
          <w:b/>
        </w:rPr>
        <w:t>Full satellite raster fusion.</w:t>
      </w:r>
      <w:r>
        <w:t xml:space="preserve"> Beyond today's Sentinel-5P catalog metadata (Section 14): regridded NO2/SO2/HCHO rasters, Copernicus CAMS reanalysis, and INSAT-3D aerosol optical depth ingested as first-class grid channels, closing the ground-sensor-proxy gap flagged honestly in Section 37.</w:t>
      </w:r>
    </w:p>
    <w:p w14:paraId="0672D9B9" w14:textId="77777777" w:rsidR="0039721F" w:rsidRDefault="00000000">
      <w:pPr>
        <w:pStyle w:val="ListNumber"/>
      </w:pPr>
      <w:r>
        <w:rPr>
          <w:b/>
        </w:rPr>
        <w:t>Graph/transformer-class forecasting at scale.</w:t>
      </w:r>
      <w:r>
        <w:t xml:space="preserve"> A spatio-temporal graph neural network or transformer ensemble, layered over or replacing the ConvLSTM baseline (Section 19), trained on multi-year city history rather than weeks, forecasting to a full 7-day horizon with calibrated uncertainty bands instead of a point estimate.</w:t>
      </w:r>
    </w:p>
    <w:p w14:paraId="7F175250" w14:textId="77777777" w:rsidR="0039721F" w:rsidRDefault="00000000">
      <w:pPr>
        <w:pStyle w:val="ListNumber"/>
      </w:pPr>
      <w:r>
        <w:rPr>
          <w:b/>
        </w:rPr>
        <w:t>Ground-truth-benchmarked attribution.</w:t>
      </w:r>
      <w:r>
        <w:t xml:space="preserve"> The deterministic evidence scorer in Section 20 validated and continuously recalibrated against construction-permit registries, industrial consent-to-operate databases, and traffic-telemetry feeds — turning today's auditable heuristic into a calibrated model with a measured accuracy figure, not just an auditable one.</w:t>
      </w:r>
    </w:p>
    <w:p w14:paraId="3CBDCB89" w14:textId="77777777" w:rsidR="0039721F" w:rsidRDefault="00000000">
      <w:pPr>
        <w:pStyle w:val="ListNumber"/>
      </w:pPr>
      <w:r>
        <w:rPr>
          <w:b/>
        </w:rPr>
        <w:t>Autonomous, road-network-aware enforcement dispatch.</w:t>
      </w:r>
      <w:r>
        <w:t xml:space="preserve"> Patrol routing over an actual road graph (a self-hosted OSRM instance, Section 38) that opens a ticket directly in a municipal dispatch system and tracks the measured AQI delta at a site after inspection as a first-class outcome metric — closing the loop from detection to verified intervention, not just to a dispatched status flag.</w:t>
      </w:r>
    </w:p>
    <w:p w14:paraId="58362601" w14:textId="77777777" w:rsidR="0039721F" w:rsidRDefault="00000000">
      <w:pPr>
        <w:pStyle w:val="ListNumber"/>
      </w:pPr>
      <w:r>
        <w:rPr>
          <w:b/>
        </w:rPr>
        <w:t>Every-language, every-channel citizen delivery.</w:t>
      </w:r>
      <w:r>
        <w:t xml:space="preserve"> The six live languages in Section 22 extended to all 22 scheduled languages of the Eighth Schedule, delivered over SMS, IVR, and WhatsApp push — not just a dashboard — so the advisory reaches a citizen without a smartphone habit or a data plan, matching the brief's own delivery-channel ask (Section 38).</w:t>
      </w:r>
    </w:p>
    <w:p w14:paraId="305CC909" w14:textId="77777777" w:rsidR="0039721F" w:rsidRDefault="00000000">
      <w:pPr>
        <w:pStyle w:val="ListNumber"/>
      </w:pPr>
      <w:r>
        <w:rPr>
          <w:b/>
        </w:rPr>
        <w:t>Ward-level, persona-aware vulnerability targeting.</w:t>
      </w:r>
      <w:r>
        <w:t xml:space="preserve"> Advisories and enforcement priority weighted by real exposure proxies — schools, hospitals, outdoor-labour zones, informal settlements — rather than a single city-wide mean, so the vulnerable-population persona in Section 8 is served by name, not by average.</w:t>
      </w:r>
    </w:p>
    <w:p w14:paraId="72991B7C" w14:textId="77777777" w:rsidR="0039721F" w:rsidRDefault="00000000">
      <w:pPr>
        <w:pStyle w:val="ListNumber"/>
      </w:pPr>
      <w:r>
        <w:rPr>
          <w:b/>
        </w:rPr>
        <w:t>A cross-city policy comparator for NCAP.</w:t>
      </w:r>
      <w:r>
        <w:t xml:space="preserve"> Letting a state or national office rank interventions — odd-even, construction bans, industrial shutdowns — by measured before/after effect across every onboarded city, turning GRAP-style response (Section 5) from a reactive threshold trigger into an evaluated, evidence-ranked policy toolkit.</w:t>
      </w:r>
    </w:p>
    <w:p w14:paraId="76C04D3E" w14:textId="77777777" w:rsidR="0039721F" w:rsidRDefault="00000000">
      <w:pPr>
        <w:pStyle w:val="ListNumber"/>
      </w:pPr>
      <w:r>
        <w:rPr>
          <w:b/>
        </w:rPr>
        <w:t>Closed-loop learning.</w:t>
      </w:r>
      <w:r>
        <w:t xml:space="preserve"> Every dispatched intervention and its measured outcome feeding back into the attribution and enforcement scoring functions, so the system's priority ranking improves with every patrol run instead of remaining a fixed heuristic indefinitely.</w:t>
      </w:r>
    </w:p>
    <w:p w14:paraId="4A6044A0" w14:textId="77777777" w:rsidR="0039721F" w:rsidRDefault="00000000">
      <w:r>
        <w:t xml:space="preserve">None of the nine elements above requires new invention so much as scale, data-sharing agreements with permit and traffic authorities, and time: the city_slug partitioning already load-bearing in every table and route today (Section 28) is exactly the seam a second, tenth, and hundredth city plugs into, and the deterministic-first / LLM-second agent design (Section 18) is exactly the seam that a calibrated attribution model or a road-network-aware router slots into without touching the orchestration layer around it. This submission's actual deliverable is deliberately narrower than the proposal above, and stated honestly as such throughout this document: Delhi NCR, five real ingestion pipelines, a trained ConvLSTM checkpoint beating a persistence baseline, a three-agent </w:t>
      </w:r>
      <w:r>
        <w:lastRenderedPageBreak/>
        <w:t>enforcement pipeline verified end to end, and six live languages — the smallest slice of the national proposal that still proves every architectural seam described in this section actually holds together under real data.</w:t>
      </w:r>
    </w:p>
    <w:p w14:paraId="6A3586C3" w14:textId="77777777" w:rsidR="0039721F" w:rsidRDefault="00000000">
      <w:pPr>
        <w:pStyle w:val="Heading1"/>
      </w:pPr>
      <w:r>
        <w:t>13. System Architecture</w:t>
      </w:r>
    </w:p>
    <w:p w14:paraId="227FE279" w14:textId="77777777" w:rsidR="0039721F" w:rsidRDefault="00000000">
      <w:r>
        <w:rPr>
          <w:i/>
          <w:color w:val="606060"/>
          <w:sz w:val="18"/>
        </w:rPr>
        <w:t>[Diagram — renders visually in the published web artifact / SITEMAP-linked docs; source shown below]</w:t>
      </w:r>
    </w:p>
    <w:p w14:paraId="1F200A8F" w14:textId="77777777" w:rsidR="0039721F" w:rsidRDefault="00000000">
      <w:pPr>
        <w:spacing w:after="0"/>
        <w:ind w:left="360"/>
      </w:pPr>
      <w:r>
        <w:rPr>
          <w:rFonts w:ascii="Consolas" w:hAnsi="Consolas"/>
          <w:color w:val="2F2F2F"/>
          <w:sz w:val="18"/>
        </w:rPr>
        <w:t>flowchart LR</w:t>
      </w:r>
    </w:p>
    <w:p w14:paraId="2B41D82F" w14:textId="77777777" w:rsidR="0039721F" w:rsidRDefault="00000000">
      <w:pPr>
        <w:spacing w:after="0"/>
        <w:ind w:left="360"/>
      </w:pPr>
      <w:r>
        <w:rPr>
          <w:rFonts w:ascii="Consolas" w:hAnsi="Consolas"/>
          <w:color w:val="2F2F2F"/>
          <w:sz w:val="18"/>
        </w:rPr>
        <w:t xml:space="preserve">    subgraph Sources["External data sources"]</w:t>
      </w:r>
    </w:p>
    <w:p w14:paraId="180F3A73" w14:textId="77777777" w:rsidR="0039721F" w:rsidRDefault="00000000">
      <w:pPr>
        <w:spacing w:after="0"/>
        <w:ind w:left="360"/>
      </w:pPr>
      <w:r>
        <w:rPr>
          <w:rFonts w:ascii="Consolas" w:hAnsi="Consolas"/>
          <w:color w:val="2F2F2F"/>
          <w:sz w:val="18"/>
        </w:rPr>
        <w:t xml:space="preserve">        OAQ["OpenAQ v3\n(CAAQMS proxy, hourly)"]</w:t>
      </w:r>
    </w:p>
    <w:p w14:paraId="1B420A2C" w14:textId="77777777" w:rsidR="0039721F" w:rsidRDefault="00000000">
      <w:pPr>
        <w:spacing w:after="0"/>
        <w:ind w:left="360"/>
      </w:pPr>
      <w:r>
        <w:rPr>
          <w:rFonts w:ascii="Consolas" w:hAnsi="Consolas"/>
          <w:color w:val="2F2F2F"/>
          <w:sz w:val="18"/>
        </w:rPr>
        <w:t xml:space="preserve">        FIRMS["NASA FIRMS\n(fires, 3-hourly)"]</w:t>
      </w:r>
    </w:p>
    <w:p w14:paraId="4F8CFCE5" w14:textId="77777777" w:rsidR="0039721F" w:rsidRDefault="00000000">
      <w:pPr>
        <w:spacing w:after="0"/>
        <w:ind w:left="360"/>
      </w:pPr>
      <w:r>
        <w:rPr>
          <w:rFonts w:ascii="Consolas" w:hAnsi="Consolas"/>
          <w:color w:val="2F2F2F"/>
          <w:sz w:val="18"/>
        </w:rPr>
        <w:t xml:space="preserve">        OM["Open-Meteo\n(wind/temp/RH, hourly)"]</w:t>
      </w:r>
    </w:p>
    <w:p w14:paraId="6ECEBEE5" w14:textId="77777777" w:rsidR="0039721F" w:rsidRDefault="00000000">
      <w:pPr>
        <w:spacing w:after="0"/>
        <w:ind w:left="360"/>
      </w:pPr>
      <w:r>
        <w:rPr>
          <w:rFonts w:ascii="Consolas" w:hAnsi="Consolas"/>
          <w:color w:val="2F2F2F"/>
          <w:sz w:val="18"/>
        </w:rPr>
        <w:t xml:space="preserve">        OSM["OSM Overpass\n(land use, monthly)"]</w:t>
      </w:r>
    </w:p>
    <w:p w14:paraId="0C7E5201" w14:textId="77777777" w:rsidR="0039721F" w:rsidRPr="00477FDF" w:rsidRDefault="00000000">
      <w:pPr>
        <w:spacing w:after="0"/>
        <w:ind w:left="360"/>
        <w:rPr>
          <w:lang w:val="pt-BR"/>
        </w:rPr>
      </w:pPr>
      <w:r>
        <w:rPr>
          <w:rFonts w:ascii="Consolas" w:hAnsi="Consolas"/>
          <w:color w:val="2F2F2F"/>
          <w:sz w:val="18"/>
        </w:rPr>
        <w:t xml:space="preserve">        </w:t>
      </w:r>
      <w:r w:rsidRPr="00477FDF">
        <w:rPr>
          <w:rFonts w:ascii="Consolas" w:hAnsi="Consolas"/>
          <w:color w:val="2F2F2F"/>
          <w:sz w:val="18"/>
          <w:lang w:val="pt-BR"/>
        </w:rPr>
        <w:t>S5P["Copernicus CDSE\n(Sentinel-5P catalog, daily)"]</w:t>
      </w:r>
    </w:p>
    <w:p w14:paraId="651C98BF" w14:textId="77777777" w:rsidR="0039721F" w:rsidRDefault="00000000">
      <w:pPr>
        <w:spacing w:after="0"/>
        <w:ind w:left="360"/>
      </w:pPr>
      <w:r w:rsidRPr="00477FDF">
        <w:rPr>
          <w:rFonts w:ascii="Consolas" w:hAnsi="Consolas"/>
          <w:color w:val="2F2F2F"/>
          <w:sz w:val="18"/>
          <w:lang w:val="pt-BR"/>
        </w:rPr>
        <w:t xml:space="preserve">    </w:t>
      </w:r>
      <w:r>
        <w:rPr>
          <w:rFonts w:ascii="Consolas" w:hAnsi="Consolas"/>
          <w:color w:val="2F2F2F"/>
          <w:sz w:val="18"/>
        </w:rPr>
        <w:t>end</w:t>
      </w:r>
    </w:p>
    <w:p w14:paraId="151CD3EC" w14:textId="77777777" w:rsidR="0039721F" w:rsidRDefault="00000000">
      <w:pPr>
        <w:spacing w:after="0"/>
        <w:ind w:left="360"/>
      </w:pPr>
      <w:r>
        <w:rPr>
          <w:rFonts w:ascii="Consolas" w:hAnsi="Consolas"/>
          <w:color w:val="2F2F2F"/>
          <w:sz w:val="18"/>
        </w:rPr>
        <w:t xml:space="preserve"> </w:t>
      </w:r>
    </w:p>
    <w:p w14:paraId="0DFAB3DE" w14:textId="77777777" w:rsidR="0039721F" w:rsidRDefault="00000000">
      <w:pPr>
        <w:spacing w:after="0"/>
        <w:ind w:left="360"/>
      </w:pPr>
      <w:r>
        <w:rPr>
          <w:rFonts w:ascii="Consolas" w:hAnsi="Consolas"/>
          <w:color w:val="2F2F2F"/>
          <w:sz w:val="18"/>
        </w:rPr>
        <w:t xml:space="preserve">    subgraph Backend["FastAPI backend"]</w:t>
      </w:r>
    </w:p>
    <w:p w14:paraId="65D308CA" w14:textId="77777777" w:rsidR="0039721F" w:rsidRDefault="00000000">
      <w:pPr>
        <w:spacing w:after="0"/>
        <w:ind w:left="360"/>
      </w:pPr>
      <w:r>
        <w:rPr>
          <w:rFonts w:ascii="Consolas" w:hAnsi="Consolas"/>
          <w:color w:val="2F2F2F"/>
          <w:sz w:val="18"/>
        </w:rPr>
        <w:t xml:space="preserve">        ING["ingestion/*\npullers + APScheduler"]</w:t>
      </w:r>
    </w:p>
    <w:p w14:paraId="6C050F9D" w14:textId="77777777" w:rsidR="0039721F" w:rsidRDefault="00000000">
      <w:pPr>
        <w:spacing w:after="0"/>
        <w:ind w:left="360"/>
      </w:pPr>
      <w:r>
        <w:rPr>
          <w:rFonts w:ascii="Consolas" w:hAnsi="Consolas"/>
          <w:color w:val="2F2F2F"/>
          <w:sz w:val="18"/>
        </w:rPr>
        <w:t xml:space="preserve">        GRID["geospatial/*\n1km UTM grid + IDW"]</w:t>
      </w:r>
    </w:p>
    <w:p w14:paraId="1934D8E6" w14:textId="77777777" w:rsidR="0039721F" w:rsidRDefault="00000000">
      <w:pPr>
        <w:spacing w:after="0"/>
        <w:ind w:left="360"/>
      </w:pPr>
      <w:r>
        <w:rPr>
          <w:rFonts w:ascii="Consolas" w:hAnsi="Consolas"/>
          <w:color w:val="2F2F2F"/>
          <w:sz w:val="18"/>
        </w:rPr>
        <w:t xml:space="preserve">        CUBE["features/cube.py\n13-channel (H,W,C) tensors"]</w:t>
      </w:r>
    </w:p>
    <w:p w14:paraId="1B71A189" w14:textId="77777777" w:rsidR="0039721F" w:rsidRDefault="00000000">
      <w:pPr>
        <w:spacing w:after="0"/>
        <w:ind w:left="360"/>
      </w:pPr>
      <w:r>
        <w:rPr>
          <w:rFonts w:ascii="Consolas" w:hAnsi="Consolas"/>
          <w:color w:val="2F2F2F"/>
          <w:sz w:val="18"/>
        </w:rPr>
        <w:t xml:space="preserve">        MODEL["models/*\nConvLSTM + rollout"]</w:t>
      </w:r>
    </w:p>
    <w:p w14:paraId="714EBE29" w14:textId="77777777" w:rsidR="0039721F" w:rsidRDefault="00000000">
      <w:pPr>
        <w:spacing w:after="0"/>
        <w:ind w:left="360"/>
      </w:pPr>
      <w:r>
        <w:rPr>
          <w:rFonts w:ascii="Consolas" w:hAnsi="Consolas"/>
          <w:color w:val="2F2F2F"/>
          <w:sz w:val="18"/>
        </w:rPr>
        <w:t xml:space="preserve">        AGENTS["agents/graph.py\nLangGraph: monitor -&gt; attribute -&gt; enforce"]</w:t>
      </w:r>
    </w:p>
    <w:p w14:paraId="74E23057" w14:textId="77777777" w:rsidR="0039721F" w:rsidRDefault="00000000">
      <w:pPr>
        <w:spacing w:after="0"/>
        <w:ind w:left="360"/>
      </w:pPr>
      <w:r>
        <w:rPr>
          <w:rFonts w:ascii="Consolas" w:hAnsi="Consolas"/>
          <w:color w:val="2F2F2F"/>
          <w:sz w:val="18"/>
        </w:rPr>
        <w:t xml:space="preserve">        ADV["advisory\nLLM citizen copy, 6 languages"]</w:t>
      </w:r>
    </w:p>
    <w:p w14:paraId="246566C7" w14:textId="77777777" w:rsidR="0039721F" w:rsidRDefault="00000000">
      <w:pPr>
        <w:spacing w:after="0"/>
        <w:ind w:left="360"/>
      </w:pPr>
      <w:r>
        <w:rPr>
          <w:rFonts w:ascii="Consolas" w:hAnsi="Consolas"/>
          <w:color w:val="2F2F2F"/>
          <w:sz w:val="18"/>
        </w:rPr>
        <w:t xml:space="preserve">    end</w:t>
      </w:r>
    </w:p>
    <w:p w14:paraId="6124ACCB" w14:textId="77777777" w:rsidR="0039721F" w:rsidRDefault="00000000">
      <w:pPr>
        <w:spacing w:after="0"/>
        <w:ind w:left="360"/>
      </w:pPr>
      <w:r>
        <w:rPr>
          <w:rFonts w:ascii="Consolas" w:hAnsi="Consolas"/>
          <w:color w:val="2F2F2F"/>
          <w:sz w:val="18"/>
        </w:rPr>
        <w:t xml:space="preserve"> </w:t>
      </w:r>
    </w:p>
    <w:p w14:paraId="5705D30B" w14:textId="77777777" w:rsidR="0039721F" w:rsidRDefault="00000000">
      <w:pPr>
        <w:spacing w:after="0"/>
        <w:ind w:left="360"/>
      </w:pPr>
      <w:r>
        <w:rPr>
          <w:rFonts w:ascii="Consolas" w:hAnsi="Consolas"/>
          <w:color w:val="2F2F2F"/>
          <w:sz w:val="18"/>
        </w:rPr>
        <w:t xml:space="preserve">    subgraph Store["PostGIS (Docker, :5433) + Redis"]</w:t>
      </w:r>
    </w:p>
    <w:p w14:paraId="157E2B09" w14:textId="77777777" w:rsidR="0039721F" w:rsidRDefault="00000000">
      <w:pPr>
        <w:spacing w:after="0"/>
        <w:ind w:left="360"/>
      </w:pPr>
      <w:r>
        <w:rPr>
          <w:rFonts w:ascii="Consolas" w:hAnsi="Consolas"/>
          <w:color w:val="2F2F2F"/>
          <w:sz w:val="18"/>
        </w:rPr>
        <w:t xml:space="preserve">        RAW[("raw readings\nfires / osm / meteo / s5p")]</w:t>
      </w:r>
    </w:p>
    <w:p w14:paraId="2445AA2C" w14:textId="77777777" w:rsidR="0039721F" w:rsidRDefault="00000000">
      <w:pPr>
        <w:spacing w:after="0"/>
        <w:ind w:left="360"/>
      </w:pPr>
      <w:r>
        <w:rPr>
          <w:rFonts w:ascii="Consolas" w:hAnsi="Consolas"/>
          <w:color w:val="2F2F2F"/>
          <w:sz w:val="18"/>
        </w:rPr>
        <w:t xml:space="preserve">        GC[("grid_cells /\ngrid_readings")]</w:t>
      </w:r>
    </w:p>
    <w:p w14:paraId="1F9E32C7" w14:textId="77777777" w:rsidR="0039721F" w:rsidRDefault="00000000">
      <w:pPr>
        <w:spacing w:after="0"/>
        <w:ind w:left="360"/>
      </w:pPr>
      <w:r>
        <w:rPr>
          <w:rFonts w:ascii="Consolas" w:hAnsi="Consolas"/>
          <w:color w:val="2F2F2F"/>
          <w:sz w:val="18"/>
        </w:rPr>
        <w:t xml:space="preserve">        MAN[("cube manifest /\nagent_runs")]</w:t>
      </w:r>
    </w:p>
    <w:p w14:paraId="130EB923" w14:textId="77777777" w:rsidR="0039721F" w:rsidRDefault="00000000">
      <w:pPr>
        <w:spacing w:after="0"/>
        <w:ind w:left="360"/>
      </w:pPr>
      <w:r>
        <w:rPr>
          <w:rFonts w:ascii="Consolas" w:hAnsi="Consolas"/>
          <w:color w:val="2F2F2F"/>
          <w:sz w:val="18"/>
        </w:rPr>
        <w:t xml:space="preserve">    end</w:t>
      </w:r>
    </w:p>
    <w:p w14:paraId="36E13A13" w14:textId="77777777" w:rsidR="0039721F" w:rsidRDefault="00000000">
      <w:pPr>
        <w:spacing w:after="0"/>
        <w:ind w:left="360"/>
      </w:pPr>
      <w:r>
        <w:rPr>
          <w:rFonts w:ascii="Consolas" w:hAnsi="Consolas"/>
          <w:color w:val="2F2F2F"/>
          <w:sz w:val="18"/>
        </w:rPr>
        <w:t xml:space="preserve"> </w:t>
      </w:r>
    </w:p>
    <w:p w14:paraId="797DB3E1" w14:textId="77777777" w:rsidR="0039721F" w:rsidRDefault="00000000">
      <w:pPr>
        <w:spacing w:after="0"/>
        <w:ind w:left="360"/>
      </w:pPr>
      <w:r>
        <w:rPr>
          <w:rFonts w:ascii="Consolas" w:hAnsi="Consolas"/>
          <w:color w:val="2F2F2F"/>
          <w:sz w:val="18"/>
        </w:rPr>
        <w:t xml:space="preserve">    subgraph Frontend["Next.js 14 dashboard, 8 routes"]</w:t>
      </w:r>
    </w:p>
    <w:p w14:paraId="666ABBCB" w14:textId="77777777" w:rsidR="0039721F" w:rsidRDefault="00000000">
      <w:pPr>
        <w:spacing w:after="0"/>
        <w:ind w:left="360"/>
      </w:pPr>
      <w:r>
        <w:rPr>
          <w:rFonts w:ascii="Consolas" w:hAnsi="Consolas"/>
          <w:color w:val="2F2F2F"/>
          <w:sz w:val="18"/>
        </w:rPr>
        <w:t xml:space="preserve">        UI["map, forecast, attribution,\nenforcement, advisory, cities, data"]</w:t>
      </w:r>
    </w:p>
    <w:p w14:paraId="27B33ABB" w14:textId="77777777" w:rsidR="0039721F" w:rsidRDefault="00000000">
      <w:pPr>
        <w:spacing w:after="0"/>
        <w:ind w:left="360"/>
      </w:pPr>
      <w:r>
        <w:rPr>
          <w:rFonts w:ascii="Consolas" w:hAnsi="Consolas"/>
          <w:color w:val="2F2F2F"/>
          <w:sz w:val="18"/>
        </w:rPr>
        <w:t xml:space="preserve">    end</w:t>
      </w:r>
    </w:p>
    <w:p w14:paraId="21E0E590" w14:textId="77777777" w:rsidR="0039721F" w:rsidRDefault="00000000">
      <w:pPr>
        <w:spacing w:after="0"/>
        <w:ind w:left="360"/>
      </w:pPr>
      <w:r>
        <w:rPr>
          <w:rFonts w:ascii="Consolas" w:hAnsi="Consolas"/>
          <w:color w:val="2F2F2F"/>
          <w:sz w:val="18"/>
        </w:rPr>
        <w:t xml:space="preserve"> </w:t>
      </w:r>
    </w:p>
    <w:p w14:paraId="4BD37FAE" w14:textId="77777777" w:rsidR="0039721F" w:rsidRDefault="00000000">
      <w:pPr>
        <w:spacing w:after="0"/>
        <w:ind w:left="360"/>
      </w:pPr>
      <w:r>
        <w:rPr>
          <w:rFonts w:ascii="Consolas" w:hAnsi="Consolas"/>
          <w:color w:val="2F2F2F"/>
          <w:sz w:val="18"/>
        </w:rPr>
        <w:t xml:space="preserve">    OAQ &amp; FIRMS &amp; OM &amp; OSM &amp; S5P --&gt; ING --&gt; RAW</w:t>
      </w:r>
    </w:p>
    <w:p w14:paraId="0BD62329" w14:textId="77777777" w:rsidR="0039721F" w:rsidRDefault="00000000">
      <w:pPr>
        <w:spacing w:after="0"/>
        <w:ind w:left="360"/>
      </w:pPr>
      <w:r>
        <w:rPr>
          <w:rFonts w:ascii="Consolas" w:hAnsi="Consolas"/>
          <w:color w:val="2F2F2F"/>
          <w:sz w:val="18"/>
        </w:rPr>
        <w:t xml:space="preserve">    RAW --&gt; GRID --&gt; GC</w:t>
      </w:r>
    </w:p>
    <w:p w14:paraId="310F936B" w14:textId="77777777" w:rsidR="0039721F" w:rsidRDefault="00000000">
      <w:pPr>
        <w:spacing w:after="0"/>
        <w:ind w:left="360"/>
      </w:pPr>
      <w:r>
        <w:rPr>
          <w:rFonts w:ascii="Consolas" w:hAnsi="Consolas"/>
          <w:color w:val="2F2F2F"/>
          <w:sz w:val="18"/>
        </w:rPr>
        <w:t xml:space="preserve">    RAW &amp; GC --&gt; CUBE --&gt; MAN</w:t>
      </w:r>
    </w:p>
    <w:p w14:paraId="3D973A33" w14:textId="77777777" w:rsidR="0039721F" w:rsidRDefault="00000000">
      <w:pPr>
        <w:spacing w:after="0"/>
        <w:ind w:left="360"/>
      </w:pPr>
      <w:r>
        <w:rPr>
          <w:rFonts w:ascii="Consolas" w:hAnsi="Consolas"/>
          <w:color w:val="2F2F2F"/>
          <w:sz w:val="18"/>
        </w:rPr>
        <w:t xml:space="preserve">    MAN --&gt; MODEL</w:t>
      </w:r>
    </w:p>
    <w:p w14:paraId="6DA0978F" w14:textId="77777777" w:rsidR="0039721F" w:rsidRDefault="00000000">
      <w:pPr>
        <w:spacing w:after="0"/>
        <w:ind w:left="360"/>
      </w:pPr>
      <w:r>
        <w:rPr>
          <w:rFonts w:ascii="Consolas" w:hAnsi="Consolas"/>
          <w:color w:val="2F2F2F"/>
          <w:sz w:val="18"/>
        </w:rPr>
        <w:t xml:space="preserve">    MODEL --&gt;|/forecast/*| UI</w:t>
      </w:r>
    </w:p>
    <w:p w14:paraId="44E32B68" w14:textId="77777777" w:rsidR="0039721F" w:rsidRDefault="00000000">
      <w:pPr>
        <w:spacing w:after="0"/>
        <w:ind w:left="360"/>
      </w:pPr>
      <w:r>
        <w:rPr>
          <w:rFonts w:ascii="Consolas" w:hAnsi="Consolas"/>
          <w:color w:val="2F2F2F"/>
          <w:sz w:val="18"/>
        </w:rPr>
        <w:t xml:space="preserve">    GC --&gt;|/grid/*| UI</w:t>
      </w:r>
    </w:p>
    <w:p w14:paraId="5A050255" w14:textId="77777777" w:rsidR="0039721F" w:rsidRDefault="00000000">
      <w:pPr>
        <w:spacing w:after="0"/>
        <w:ind w:left="360"/>
      </w:pPr>
      <w:r>
        <w:rPr>
          <w:rFonts w:ascii="Consolas" w:hAnsi="Consolas"/>
          <w:color w:val="2F2F2F"/>
          <w:sz w:val="18"/>
        </w:rPr>
        <w:lastRenderedPageBreak/>
        <w:t xml:space="preserve">    RAW &amp; GC --&gt; AGENTS --&gt;|/agents/*| UI</w:t>
      </w:r>
    </w:p>
    <w:p w14:paraId="0D3750A5" w14:textId="77777777" w:rsidR="0039721F" w:rsidRDefault="00000000">
      <w:pPr>
        <w:spacing w:after="0"/>
        <w:ind w:left="360"/>
      </w:pPr>
      <w:r>
        <w:rPr>
          <w:rFonts w:ascii="Consolas" w:hAnsi="Consolas"/>
          <w:color w:val="2F2F2F"/>
          <w:sz w:val="18"/>
        </w:rPr>
        <w:t xml:space="preserve">    GC --&gt; ADV --&gt;|/advisory| UI</w:t>
      </w:r>
    </w:p>
    <w:p w14:paraId="1E1D94A6" w14:textId="77777777" w:rsidR="0039721F" w:rsidRDefault="00000000">
      <w:pPr>
        <w:spacing w:after="0"/>
        <w:ind w:left="360"/>
      </w:pPr>
      <w:r>
        <w:rPr>
          <w:rFonts w:ascii="Consolas" w:hAnsi="Consolas"/>
          <w:color w:val="2F2F2F"/>
          <w:sz w:val="18"/>
        </w:rPr>
        <w:t xml:space="preserve">    LLM["Groq / Anthropic LLM\n(deterministic fallback)"] -.-&gt; AGENTS &amp; ADV</w:t>
      </w:r>
    </w:p>
    <w:p w14:paraId="6FDC5B73" w14:textId="77777777" w:rsidR="0039721F" w:rsidRDefault="00000000">
      <w:r>
        <w:t>Folder‑to‑box mapping is deliberate and literal: every box in the diagram names the module that implements it (</w:t>
      </w:r>
      <w:r>
        <w:rPr>
          <w:rFonts w:ascii="Consolas" w:hAnsi="Consolas"/>
          <w:color w:val="8A2B2B"/>
          <w:sz w:val="19"/>
        </w:rPr>
        <w:t>app/ingestion</w:t>
      </w:r>
      <w:r>
        <w:t xml:space="preserve">, </w:t>
      </w:r>
      <w:r>
        <w:rPr>
          <w:rFonts w:ascii="Consolas" w:hAnsi="Consolas"/>
          <w:color w:val="8A2B2B"/>
          <w:sz w:val="19"/>
        </w:rPr>
        <w:t>app/geospatial</w:t>
      </w:r>
      <w:r>
        <w:t xml:space="preserve">, </w:t>
      </w:r>
      <w:r>
        <w:rPr>
          <w:rFonts w:ascii="Consolas" w:hAnsi="Consolas"/>
          <w:color w:val="8A2B2B"/>
          <w:sz w:val="19"/>
        </w:rPr>
        <w:t>app/features</w:t>
      </w:r>
      <w:r>
        <w:t xml:space="preserve">, </w:t>
      </w:r>
      <w:r>
        <w:rPr>
          <w:rFonts w:ascii="Consolas" w:hAnsi="Consolas"/>
          <w:color w:val="8A2B2B"/>
          <w:sz w:val="19"/>
        </w:rPr>
        <w:t>app/models</w:t>
      </w:r>
      <w:r>
        <w:t xml:space="preserve">, </w:t>
      </w:r>
      <w:r>
        <w:rPr>
          <w:rFonts w:ascii="Consolas" w:hAnsi="Consolas"/>
          <w:color w:val="8A2B2B"/>
          <w:sz w:val="19"/>
        </w:rPr>
        <w:t>app/agents</w:t>
      </w:r>
      <w:r>
        <w:t>), so the diagram doubles as an onboarding map, not just a presentation artifact.</w:t>
      </w:r>
    </w:p>
    <w:p w14:paraId="73AD3EFD" w14:textId="77777777" w:rsidR="0039721F" w:rsidRDefault="00000000">
      <w:pPr>
        <w:pStyle w:val="Heading1"/>
      </w:pPr>
      <w:r>
        <w:t>14. Data Sources</w:t>
      </w:r>
    </w:p>
    <w:tbl>
      <w:tblPr>
        <w:tblStyle w:val="TableGrid"/>
        <w:tblW w:w="0" w:type="auto"/>
        <w:jc w:val="center"/>
        <w:tblLook w:val="04A0" w:firstRow="1" w:lastRow="0" w:firstColumn="1" w:lastColumn="0" w:noHBand="0" w:noVBand="1"/>
      </w:tblPr>
      <w:tblGrid>
        <w:gridCol w:w="1651"/>
        <w:gridCol w:w="2988"/>
        <w:gridCol w:w="950"/>
        <w:gridCol w:w="1881"/>
        <w:gridCol w:w="2394"/>
      </w:tblGrid>
      <w:tr w:rsidR="0039721F" w14:paraId="1F214C52" w14:textId="77777777">
        <w:trPr>
          <w:jc w:val="center"/>
        </w:trPr>
        <w:tc>
          <w:tcPr>
            <w:tcW w:w="1930" w:type="dxa"/>
            <w:shd w:val="clear" w:color="auto" w:fill="E4DEFF"/>
          </w:tcPr>
          <w:p w14:paraId="5856659F" w14:textId="77777777" w:rsidR="0039721F" w:rsidRDefault="00000000">
            <w:pPr>
              <w:spacing w:after="40"/>
            </w:pPr>
            <w:r>
              <w:rPr>
                <w:b/>
                <w:sz w:val="18"/>
              </w:rPr>
              <w:t>Source</w:t>
            </w:r>
          </w:p>
        </w:tc>
        <w:tc>
          <w:tcPr>
            <w:tcW w:w="1930" w:type="dxa"/>
            <w:shd w:val="clear" w:color="auto" w:fill="E4DEFF"/>
          </w:tcPr>
          <w:p w14:paraId="05856C64" w14:textId="77777777" w:rsidR="0039721F" w:rsidRDefault="00000000">
            <w:pPr>
              <w:spacing w:after="40"/>
            </w:pPr>
            <w:r>
              <w:rPr>
                <w:b/>
                <w:sz w:val="18"/>
              </w:rPr>
              <w:t>Puller module</w:t>
            </w:r>
          </w:p>
        </w:tc>
        <w:tc>
          <w:tcPr>
            <w:tcW w:w="1930" w:type="dxa"/>
            <w:shd w:val="clear" w:color="auto" w:fill="E4DEFF"/>
          </w:tcPr>
          <w:p w14:paraId="6A9BF3D2" w14:textId="77777777" w:rsidR="0039721F" w:rsidRDefault="00000000">
            <w:pPr>
              <w:spacing w:after="40"/>
            </w:pPr>
            <w:r>
              <w:rPr>
                <w:b/>
                <w:sz w:val="18"/>
              </w:rPr>
              <w:t>Cadence</w:t>
            </w:r>
          </w:p>
        </w:tc>
        <w:tc>
          <w:tcPr>
            <w:tcW w:w="1930" w:type="dxa"/>
            <w:shd w:val="clear" w:color="auto" w:fill="E4DEFF"/>
          </w:tcPr>
          <w:p w14:paraId="7BE5A1AB" w14:textId="77777777" w:rsidR="0039721F" w:rsidRDefault="00000000">
            <w:pPr>
              <w:spacing w:after="40"/>
            </w:pPr>
            <w:r>
              <w:rPr>
                <w:b/>
                <w:sz w:val="18"/>
              </w:rPr>
              <w:t>Fields ingested</w:t>
            </w:r>
          </w:p>
        </w:tc>
        <w:tc>
          <w:tcPr>
            <w:tcW w:w="1930" w:type="dxa"/>
            <w:shd w:val="clear" w:color="auto" w:fill="E4DEFF"/>
          </w:tcPr>
          <w:p w14:paraId="337809EB" w14:textId="77777777" w:rsidR="0039721F" w:rsidRDefault="00000000">
            <w:pPr>
              <w:spacing w:after="40"/>
            </w:pPr>
            <w:r>
              <w:rPr>
                <w:b/>
                <w:sz w:val="18"/>
              </w:rPr>
              <w:t>Notes</w:t>
            </w:r>
          </w:p>
        </w:tc>
      </w:tr>
      <w:tr w:rsidR="0039721F" w14:paraId="277B3F48" w14:textId="77777777">
        <w:trPr>
          <w:jc w:val="center"/>
        </w:trPr>
        <w:tc>
          <w:tcPr>
            <w:tcW w:w="1930" w:type="dxa"/>
          </w:tcPr>
          <w:p w14:paraId="5B79B85C" w14:textId="77777777" w:rsidR="0039721F" w:rsidRDefault="00000000">
            <w:pPr>
              <w:spacing w:after="40"/>
            </w:pPr>
            <w:r>
              <w:rPr>
                <w:sz w:val="18"/>
              </w:rPr>
              <w:t>OpenAQ v3 (CAAQMS proxy)</w:t>
            </w:r>
          </w:p>
        </w:tc>
        <w:tc>
          <w:tcPr>
            <w:tcW w:w="1930" w:type="dxa"/>
          </w:tcPr>
          <w:p w14:paraId="67A281B4" w14:textId="77777777" w:rsidR="0039721F" w:rsidRDefault="00000000">
            <w:pPr>
              <w:spacing w:after="40"/>
            </w:pPr>
            <w:r>
              <w:rPr>
                <w:rFonts w:ascii="Consolas" w:hAnsi="Consolas"/>
                <w:color w:val="8A2B2B"/>
                <w:sz w:val="18"/>
              </w:rPr>
              <w:t>ingestion/caaqms_openaq.py</w:t>
            </w:r>
          </w:p>
        </w:tc>
        <w:tc>
          <w:tcPr>
            <w:tcW w:w="1930" w:type="dxa"/>
          </w:tcPr>
          <w:p w14:paraId="6056BFE3" w14:textId="77777777" w:rsidR="0039721F" w:rsidRDefault="00000000">
            <w:pPr>
              <w:spacing w:after="40"/>
            </w:pPr>
            <w:r>
              <w:rPr>
                <w:sz w:val="18"/>
              </w:rPr>
              <w:t>Hourly</w:t>
            </w:r>
          </w:p>
        </w:tc>
        <w:tc>
          <w:tcPr>
            <w:tcW w:w="1930" w:type="dxa"/>
          </w:tcPr>
          <w:p w14:paraId="7B0C5E13" w14:textId="77777777" w:rsidR="0039721F" w:rsidRDefault="00000000">
            <w:pPr>
              <w:spacing w:after="40"/>
            </w:pPr>
            <w:r>
              <w:rPr>
                <w:sz w:val="18"/>
              </w:rPr>
              <w:t>pm25, pm10, no2, so2, co, o3</w:t>
            </w:r>
          </w:p>
        </w:tc>
        <w:tc>
          <w:tcPr>
            <w:tcW w:w="1930" w:type="dxa"/>
          </w:tcPr>
          <w:p w14:paraId="2481ED59" w14:textId="77777777" w:rsidR="0039721F" w:rsidRDefault="00000000">
            <w:pPr>
              <w:spacing w:after="40"/>
            </w:pPr>
            <w:r>
              <w:rPr>
                <w:sz w:val="18"/>
              </w:rPr>
              <w:t xml:space="preserve">Gap‑fills dropouts under 3h by linear interpolation; uses </w:t>
            </w:r>
            <w:r>
              <w:rPr>
                <w:rFonts w:ascii="Consolas" w:hAnsi="Consolas"/>
                <w:color w:val="8A2B2B"/>
                <w:sz w:val="18"/>
              </w:rPr>
              <w:t>/locations/{id}/latest</w:t>
            </w:r>
            <w:r>
              <w:rPr>
                <w:sz w:val="18"/>
              </w:rPr>
              <w:t xml:space="preserve"> and </w:t>
            </w:r>
            <w:r>
              <w:rPr>
                <w:rFonts w:ascii="Consolas" w:hAnsi="Consolas"/>
                <w:color w:val="8A2B2B"/>
                <w:sz w:val="18"/>
              </w:rPr>
              <w:t>/sensors/{id}/hours</w:t>
            </w:r>
            <w:r>
              <w:rPr>
                <w:sz w:val="18"/>
              </w:rPr>
              <w:t xml:space="preserve"> (v3 removed the per‑location measurements endpoint)</w:t>
            </w:r>
          </w:p>
        </w:tc>
      </w:tr>
      <w:tr w:rsidR="0039721F" w14:paraId="4F79D927" w14:textId="77777777">
        <w:trPr>
          <w:jc w:val="center"/>
        </w:trPr>
        <w:tc>
          <w:tcPr>
            <w:tcW w:w="1930" w:type="dxa"/>
          </w:tcPr>
          <w:p w14:paraId="3E377FBA" w14:textId="77777777" w:rsidR="0039721F" w:rsidRDefault="00000000">
            <w:pPr>
              <w:spacing w:after="40"/>
            </w:pPr>
            <w:r>
              <w:rPr>
                <w:sz w:val="18"/>
              </w:rPr>
              <w:t>NASA FIRMS (VIIRS_SNPP_NRT, MODIS_NRT)</w:t>
            </w:r>
          </w:p>
        </w:tc>
        <w:tc>
          <w:tcPr>
            <w:tcW w:w="1930" w:type="dxa"/>
          </w:tcPr>
          <w:p w14:paraId="722BE2DA" w14:textId="77777777" w:rsidR="0039721F" w:rsidRDefault="00000000">
            <w:pPr>
              <w:spacing w:after="40"/>
            </w:pPr>
            <w:r>
              <w:rPr>
                <w:rFonts w:ascii="Consolas" w:hAnsi="Consolas"/>
                <w:color w:val="8A2B2B"/>
                <w:sz w:val="18"/>
              </w:rPr>
              <w:t>ingestion/firms_fires.py</w:t>
            </w:r>
          </w:p>
        </w:tc>
        <w:tc>
          <w:tcPr>
            <w:tcW w:w="1930" w:type="dxa"/>
          </w:tcPr>
          <w:p w14:paraId="18AAAEB2" w14:textId="77777777" w:rsidR="0039721F" w:rsidRDefault="00000000">
            <w:pPr>
              <w:spacing w:after="40"/>
            </w:pPr>
            <w:r>
              <w:rPr>
                <w:sz w:val="18"/>
              </w:rPr>
              <w:t>Every 3h</w:t>
            </w:r>
          </w:p>
        </w:tc>
        <w:tc>
          <w:tcPr>
            <w:tcW w:w="1930" w:type="dxa"/>
          </w:tcPr>
          <w:p w14:paraId="66FCB2E9" w14:textId="77777777" w:rsidR="0039721F" w:rsidRDefault="00000000">
            <w:pPr>
              <w:spacing w:after="40"/>
            </w:pPr>
            <w:r>
              <w:rPr>
                <w:sz w:val="18"/>
              </w:rPr>
              <w:t>lat/lon, confidence, Fire Radiative Power (MW), day/night flag</w:t>
            </w:r>
          </w:p>
        </w:tc>
        <w:tc>
          <w:tcPr>
            <w:tcW w:w="1930" w:type="dxa"/>
          </w:tcPr>
          <w:p w14:paraId="07688318" w14:textId="77777777" w:rsidR="0039721F" w:rsidRDefault="00000000">
            <w:pPr>
              <w:spacing w:after="40"/>
            </w:pPr>
            <w:r>
              <w:rPr>
                <w:sz w:val="18"/>
              </w:rPr>
              <w:t>Area CSV API, buffered bounding box for regional (upwind) context</w:t>
            </w:r>
          </w:p>
        </w:tc>
      </w:tr>
      <w:tr w:rsidR="0039721F" w14:paraId="47FFF715" w14:textId="77777777">
        <w:trPr>
          <w:jc w:val="center"/>
        </w:trPr>
        <w:tc>
          <w:tcPr>
            <w:tcW w:w="1930" w:type="dxa"/>
          </w:tcPr>
          <w:p w14:paraId="108C982B" w14:textId="77777777" w:rsidR="0039721F" w:rsidRDefault="00000000">
            <w:pPr>
              <w:spacing w:after="40"/>
            </w:pPr>
            <w:r>
              <w:rPr>
                <w:sz w:val="18"/>
              </w:rPr>
              <w:t>Open‑Meteo</w:t>
            </w:r>
          </w:p>
        </w:tc>
        <w:tc>
          <w:tcPr>
            <w:tcW w:w="1930" w:type="dxa"/>
          </w:tcPr>
          <w:p w14:paraId="7CB66BC8" w14:textId="77777777" w:rsidR="0039721F" w:rsidRDefault="00000000">
            <w:pPr>
              <w:spacing w:after="40"/>
            </w:pPr>
            <w:r>
              <w:rPr>
                <w:rFonts w:ascii="Consolas" w:hAnsi="Consolas"/>
                <w:color w:val="8A2B2B"/>
                <w:sz w:val="18"/>
              </w:rPr>
              <w:t>ingestion/meteo_openmeteo.py</w:t>
            </w:r>
          </w:p>
        </w:tc>
        <w:tc>
          <w:tcPr>
            <w:tcW w:w="1930" w:type="dxa"/>
          </w:tcPr>
          <w:p w14:paraId="7D51C067" w14:textId="77777777" w:rsidR="0039721F" w:rsidRDefault="00000000">
            <w:pPr>
              <w:spacing w:after="40"/>
            </w:pPr>
            <w:r>
              <w:rPr>
                <w:sz w:val="18"/>
              </w:rPr>
              <w:t>Hourly</w:t>
            </w:r>
          </w:p>
        </w:tc>
        <w:tc>
          <w:tcPr>
            <w:tcW w:w="1930" w:type="dxa"/>
          </w:tcPr>
          <w:p w14:paraId="444F2D39" w14:textId="77777777" w:rsidR="0039721F" w:rsidRDefault="00000000">
            <w:pPr>
              <w:spacing w:after="40"/>
            </w:pPr>
            <w:r>
              <w:rPr>
                <w:sz w:val="18"/>
              </w:rPr>
              <w:t>wind speed/direction, temperature, relative humidity</w:t>
            </w:r>
          </w:p>
        </w:tc>
        <w:tc>
          <w:tcPr>
            <w:tcW w:w="1930" w:type="dxa"/>
          </w:tcPr>
          <w:p w14:paraId="2C86BCA6" w14:textId="77777777" w:rsidR="0039721F" w:rsidRDefault="00000000">
            <w:pPr>
              <w:spacing w:after="40"/>
            </w:pPr>
            <w:r>
              <w:rPr>
                <w:sz w:val="18"/>
              </w:rPr>
              <w:t xml:space="preserve">No API key; forecast API's </w:t>
            </w:r>
            <w:r>
              <w:rPr>
                <w:rFonts w:ascii="Consolas" w:hAnsi="Consolas"/>
                <w:color w:val="8A2B2B"/>
                <w:sz w:val="18"/>
              </w:rPr>
              <w:t>past_days</w:t>
            </w:r>
            <w:r>
              <w:rPr>
                <w:sz w:val="18"/>
              </w:rPr>
              <w:t xml:space="preserve"> window covers the archive API's ~2‑day lag</w:t>
            </w:r>
          </w:p>
        </w:tc>
      </w:tr>
      <w:tr w:rsidR="0039721F" w14:paraId="42C5928E" w14:textId="77777777">
        <w:trPr>
          <w:jc w:val="center"/>
        </w:trPr>
        <w:tc>
          <w:tcPr>
            <w:tcW w:w="1930" w:type="dxa"/>
          </w:tcPr>
          <w:p w14:paraId="41B6C51C" w14:textId="77777777" w:rsidR="0039721F" w:rsidRDefault="00000000">
            <w:pPr>
              <w:spacing w:after="40"/>
            </w:pPr>
            <w:r>
              <w:rPr>
                <w:sz w:val="18"/>
              </w:rPr>
              <w:t>OSM Overpass</w:t>
            </w:r>
          </w:p>
        </w:tc>
        <w:tc>
          <w:tcPr>
            <w:tcW w:w="1930" w:type="dxa"/>
          </w:tcPr>
          <w:p w14:paraId="1BB48CE7" w14:textId="77777777" w:rsidR="0039721F" w:rsidRDefault="00000000">
            <w:pPr>
              <w:spacing w:after="40"/>
            </w:pPr>
            <w:r>
              <w:rPr>
                <w:rFonts w:ascii="Consolas" w:hAnsi="Consolas"/>
                <w:color w:val="8A2B2B"/>
                <w:sz w:val="18"/>
              </w:rPr>
              <w:t>ingestion/osm_landuse.py</w:t>
            </w:r>
          </w:p>
        </w:tc>
        <w:tc>
          <w:tcPr>
            <w:tcW w:w="1930" w:type="dxa"/>
          </w:tcPr>
          <w:p w14:paraId="788E4990" w14:textId="77777777" w:rsidR="0039721F" w:rsidRDefault="00000000">
            <w:pPr>
              <w:spacing w:after="40"/>
            </w:pPr>
            <w:r>
              <w:rPr>
                <w:sz w:val="18"/>
              </w:rPr>
              <w:t>Monthly</w:t>
            </w:r>
          </w:p>
        </w:tc>
        <w:tc>
          <w:tcPr>
            <w:tcW w:w="1930" w:type="dxa"/>
          </w:tcPr>
          <w:p w14:paraId="05A91CBE" w14:textId="77777777" w:rsidR="0039721F" w:rsidRDefault="00000000">
            <w:pPr>
              <w:spacing w:after="40"/>
            </w:pPr>
            <w:r>
              <w:rPr>
                <w:sz w:val="18"/>
              </w:rPr>
              <w:t>industrial/residential land‑use polygons, primary/trunk highways</w:t>
            </w:r>
          </w:p>
        </w:tc>
        <w:tc>
          <w:tcPr>
            <w:tcW w:w="1930" w:type="dxa"/>
          </w:tcPr>
          <w:p w14:paraId="43C04937" w14:textId="77777777" w:rsidR="0039721F" w:rsidRDefault="00000000">
            <w:pPr>
              <w:spacing w:after="40"/>
            </w:pPr>
            <w:r>
              <w:rPr>
                <w:sz w:val="18"/>
              </w:rPr>
              <w:t>Bounding box tiled 4×4 across mirror instances to avoid full‑city query timeouts</w:t>
            </w:r>
          </w:p>
        </w:tc>
      </w:tr>
      <w:tr w:rsidR="0039721F" w14:paraId="33892398" w14:textId="77777777">
        <w:trPr>
          <w:jc w:val="center"/>
        </w:trPr>
        <w:tc>
          <w:tcPr>
            <w:tcW w:w="1930" w:type="dxa"/>
          </w:tcPr>
          <w:p w14:paraId="309427AE" w14:textId="77777777" w:rsidR="0039721F" w:rsidRDefault="00000000">
            <w:pPr>
              <w:spacing w:after="40"/>
            </w:pPr>
            <w:r>
              <w:rPr>
                <w:sz w:val="18"/>
              </w:rPr>
              <w:t>Copernicus CDSE (Sentinel‑5P)</w:t>
            </w:r>
          </w:p>
        </w:tc>
        <w:tc>
          <w:tcPr>
            <w:tcW w:w="1930" w:type="dxa"/>
          </w:tcPr>
          <w:p w14:paraId="3EC30CBC" w14:textId="77777777" w:rsidR="0039721F" w:rsidRDefault="00000000">
            <w:pPr>
              <w:spacing w:after="40"/>
            </w:pPr>
            <w:r>
              <w:rPr>
                <w:rFonts w:ascii="Consolas" w:hAnsi="Consolas"/>
                <w:color w:val="8A2B2B"/>
                <w:sz w:val="18"/>
              </w:rPr>
              <w:t>ingestion/sentinel5p.py</w:t>
            </w:r>
          </w:p>
        </w:tc>
        <w:tc>
          <w:tcPr>
            <w:tcW w:w="1930" w:type="dxa"/>
          </w:tcPr>
          <w:p w14:paraId="5BCC6FEC" w14:textId="77777777" w:rsidR="0039721F" w:rsidRDefault="00000000">
            <w:pPr>
              <w:spacing w:after="40"/>
            </w:pPr>
            <w:r>
              <w:rPr>
                <w:sz w:val="18"/>
              </w:rPr>
              <w:t>Daily</w:t>
            </w:r>
          </w:p>
        </w:tc>
        <w:tc>
          <w:tcPr>
            <w:tcW w:w="1930" w:type="dxa"/>
          </w:tcPr>
          <w:p w14:paraId="4CEE9297" w14:textId="77777777" w:rsidR="0039721F" w:rsidRDefault="00000000">
            <w:pPr>
              <w:spacing w:after="40"/>
            </w:pPr>
            <w:r>
              <w:rPr>
                <w:sz w:val="18"/>
              </w:rPr>
              <w:t>L2 NO2/SO2 product metadata (id, sensing window, NRTI/OFFL)</w:t>
            </w:r>
          </w:p>
        </w:tc>
        <w:tc>
          <w:tcPr>
            <w:tcW w:w="1930" w:type="dxa"/>
          </w:tcPr>
          <w:p w14:paraId="777A8D3C" w14:textId="77777777" w:rsidR="0039721F" w:rsidRDefault="00000000">
            <w:pPr>
              <w:spacing w:after="40"/>
            </w:pPr>
            <w:r>
              <w:rPr>
                <w:sz w:val="18"/>
              </w:rPr>
              <w:t>Catalog‑level today; raster download + regridding is a documented, NaN‑flagged upgrade slot (Section 38)</w:t>
            </w:r>
          </w:p>
        </w:tc>
      </w:tr>
    </w:tbl>
    <w:p w14:paraId="2F274E2B" w14:textId="77777777" w:rsidR="0039721F" w:rsidRDefault="0039721F">
      <w:pPr>
        <w:spacing w:after="80"/>
      </w:pPr>
    </w:p>
    <w:p w14:paraId="11EE9A32" w14:textId="77777777" w:rsidR="0039721F" w:rsidRDefault="00000000">
      <w:r>
        <w:t xml:space="preserve">All five pullers take a </w:t>
      </w:r>
      <w:r>
        <w:rPr>
          <w:rFonts w:ascii="Consolas" w:hAnsi="Consolas"/>
          <w:color w:val="8A2B2B"/>
          <w:sz w:val="19"/>
        </w:rPr>
        <w:t>city_slug</w:t>
      </w:r>
      <w:r>
        <w:t xml:space="preserve">‑scoped bounding box from </w:t>
      </w:r>
      <w:r>
        <w:rPr>
          <w:rFonts w:ascii="Consolas" w:hAnsi="Consolas"/>
          <w:color w:val="8A2B2B"/>
          <w:sz w:val="19"/>
        </w:rPr>
        <w:t>ingestion/cities.py</w:t>
      </w:r>
      <w:r>
        <w:t xml:space="preserve"> rather than a hardcoded region, and every run — success or failure — is logged to </w:t>
      </w:r>
      <w:r>
        <w:rPr>
          <w:rFonts w:ascii="Consolas" w:hAnsi="Consolas"/>
          <w:color w:val="8A2B2B"/>
          <w:sz w:val="19"/>
        </w:rPr>
        <w:t>ingestion_run_log</w:t>
      </w:r>
      <w:r>
        <w:t xml:space="preserve">, which is what </w:t>
      </w:r>
      <w:r>
        <w:rPr>
          <w:rFonts w:ascii="Consolas" w:hAnsi="Consolas"/>
          <w:color w:val="8A2B2B"/>
          <w:sz w:val="19"/>
        </w:rPr>
        <w:t>/ingestion/status</w:t>
      </w:r>
      <w:r>
        <w:t xml:space="preserve"> and </w:t>
      </w:r>
      <w:r>
        <w:rPr>
          <w:rFonts w:ascii="Consolas" w:hAnsi="Consolas"/>
          <w:color w:val="8A2B2B"/>
          <w:sz w:val="19"/>
        </w:rPr>
        <w:t>/ingestion/summary</w:t>
      </w:r>
      <w:r>
        <w:t xml:space="preserve"> surface on the </w:t>
      </w:r>
      <w:r>
        <w:rPr>
          <w:rFonts w:ascii="Consolas" w:hAnsi="Consolas"/>
          <w:color w:val="8A2B2B"/>
          <w:sz w:val="19"/>
        </w:rPr>
        <w:t>/data</w:t>
      </w:r>
      <w:r>
        <w:t xml:space="preserve"> dashboard page.</w:t>
      </w:r>
    </w:p>
    <w:p w14:paraId="099E2A16" w14:textId="77777777" w:rsidR="0039721F" w:rsidRDefault="00000000">
      <w:pPr>
        <w:pStyle w:val="Heading1"/>
      </w:pPr>
      <w:r>
        <w:t>15. Data Pipeline</w:t>
      </w:r>
    </w:p>
    <w:p w14:paraId="13C15122" w14:textId="77777777" w:rsidR="0039721F" w:rsidRDefault="00000000">
      <w:r>
        <w:rPr>
          <w:i/>
          <w:color w:val="606060"/>
          <w:sz w:val="18"/>
        </w:rPr>
        <w:t>[Diagram — renders visually in the published web artifact / SITEMAP-linked docs; source shown below]</w:t>
      </w:r>
    </w:p>
    <w:p w14:paraId="7A522F3C" w14:textId="77777777" w:rsidR="0039721F" w:rsidRDefault="00000000">
      <w:pPr>
        <w:spacing w:after="0"/>
        <w:ind w:left="360"/>
      </w:pPr>
      <w:r>
        <w:rPr>
          <w:rFonts w:ascii="Consolas" w:hAnsi="Consolas"/>
          <w:color w:val="2F2F2F"/>
          <w:sz w:val="18"/>
        </w:rPr>
        <w:t>flowchart TD</w:t>
      </w:r>
    </w:p>
    <w:p w14:paraId="3DEAFF3E" w14:textId="77777777" w:rsidR="0039721F" w:rsidRDefault="00000000">
      <w:pPr>
        <w:spacing w:after="0"/>
        <w:ind w:left="360"/>
      </w:pPr>
      <w:r>
        <w:rPr>
          <w:rFonts w:ascii="Consolas" w:hAnsi="Consolas"/>
          <w:color w:val="2F2F2F"/>
          <w:sz w:val="18"/>
        </w:rPr>
        <w:t xml:space="preserve">    A["Hourly APScheduler tick"] --&gt; B[":00 caaqms_hourly\npull sensor readings"]</w:t>
      </w:r>
    </w:p>
    <w:p w14:paraId="7B4EBD78" w14:textId="77777777" w:rsidR="0039721F" w:rsidRDefault="00000000">
      <w:pPr>
        <w:spacing w:after="0"/>
        <w:ind w:left="360"/>
      </w:pPr>
      <w:r>
        <w:rPr>
          <w:rFonts w:ascii="Consolas" w:hAnsi="Consolas"/>
          <w:color w:val="2F2F2F"/>
          <w:sz w:val="18"/>
        </w:rPr>
        <w:t xml:space="preserve">    B --&gt; C[":15 grid_materialize_hourly\nIDW onto 2,805 cells"]</w:t>
      </w:r>
    </w:p>
    <w:p w14:paraId="16C79D88" w14:textId="77777777" w:rsidR="0039721F" w:rsidRDefault="00000000">
      <w:pPr>
        <w:spacing w:after="0"/>
        <w:ind w:left="360"/>
      </w:pPr>
      <w:r>
        <w:rPr>
          <w:rFonts w:ascii="Consolas" w:hAnsi="Consolas"/>
          <w:color w:val="2F2F2F"/>
          <w:sz w:val="18"/>
        </w:rPr>
        <w:t xml:space="preserve">    C --&gt; D[":25 cube_build_hourly\ntrailing 6h rebuild, 13 channels"]</w:t>
      </w:r>
    </w:p>
    <w:p w14:paraId="02F3247B" w14:textId="77777777" w:rsidR="0039721F" w:rsidRDefault="00000000">
      <w:pPr>
        <w:spacing w:after="0"/>
        <w:ind w:left="360"/>
      </w:pPr>
      <w:r>
        <w:rPr>
          <w:rFonts w:ascii="Consolas" w:hAnsi="Consolas"/>
          <w:color w:val="2F2F2F"/>
          <w:sz w:val="18"/>
        </w:rPr>
        <w:t xml:space="preserve">    D --&gt; E["Serving: last-N cubes\nloaded per forecast request"]</w:t>
      </w:r>
    </w:p>
    <w:p w14:paraId="44CB2D65" w14:textId="77777777" w:rsidR="0039721F" w:rsidRDefault="00000000">
      <w:pPr>
        <w:spacing w:after="0"/>
        <w:ind w:left="360"/>
      </w:pPr>
      <w:r>
        <w:rPr>
          <w:rFonts w:ascii="Consolas" w:hAnsi="Consolas"/>
          <w:color w:val="2F2F2F"/>
          <w:sz w:val="18"/>
        </w:rPr>
        <w:t xml:space="preserve">    F["3h: firms_3hourly"] --&gt; C</w:t>
      </w:r>
    </w:p>
    <w:p w14:paraId="419943B3" w14:textId="77777777" w:rsidR="0039721F" w:rsidRDefault="00000000">
      <w:pPr>
        <w:spacing w:after="0"/>
        <w:ind w:left="360"/>
      </w:pPr>
      <w:r>
        <w:rPr>
          <w:rFonts w:ascii="Consolas" w:hAnsi="Consolas"/>
          <w:color w:val="2F2F2F"/>
          <w:sz w:val="18"/>
        </w:rPr>
        <w:t xml:space="preserve">    G["1h: meteo_hourly"] --&gt; C</w:t>
      </w:r>
    </w:p>
    <w:p w14:paraId="2FC709DD" w14:textId="77777777" w:rsidR="0039721F" w:rsidRDefault="00000000">
      <w:pPr>
        <w:spacing w:after="0"/>
        <w:ind w:left="360"/>
      </w:pPr>
      <w:r>
        <w:rPr>
          <w:rFonts w:ascii="Consolas" w:hAnsi="Consolas"/>
          <w:color w:val="2F2F2F"/>
          <w:sz w:val="18"/>
        </w:rPr>
        <w:t xml:space="preserve">    H["24h: sentinel5p_daily"] -.catalog only.-&gt; D</w:t>
      </w:r>
    </w:p>
    <w:p w14:paraId="01D222FA" w14:textId="77777777" w:rsidR="0039721F" w:rsidRDefault="00000000">
      <w:pPr>
        <w:spacing w:after="0"/>
        <w:ind w:left="360"/>
      </w:pPr>
      <w:r>
        <w:rPr>
          <w:rFonts w:ascii="Consolas" w:hAnsi="Consolas"/>
          <w:color w:val="2F2F2F"/>
          <w:sz w:val="18"/>
        </w:rPr>
        <w:lastRenderedPageBreak/>
        <w:t xml:space="preserve">    I["monthly: osm_monthly"] -.static channels.-&gt; D</w:t>
      </w:r>
    </w:p>
    <w:p w14:paraId="7594936E" w14:textId="77777777" w:rsidR="0039721F" w:rsidRDefault="00000000">
      <w:r>
        <w:t>The trailing‑6‑hour rebuild on the cube job is a deliberate design choice: CPCB/CAAQMS feeds routinely land a few hours late, so a strict "build only the newest hour" job would permanently miss stragglers. Because manifest writes are upserts, re‑building the trailing window every hour is idempotent and self‑healing rather than requiring a separate backfill‑reconciliation process. Source rows for any bulk build (e.g. a 90‑day backfill for training) are prefetched in three bucketed queries rather than one query per hour per source — the naive per‑hour pattern was thousands of round‑trips for a single backfill run.</w:t>
      </w:r>
    </w:p>
    <w:p w14:paraId="5FE8CF28" w14:textId="77777777" w:rsidR="0039721F" w:rsidRDefault="00000000">
      <w:pPr>
        <w:pStyle w:val="Heading1"/>
      </w:pPr>
      <w:r>
        <w:t>16. Geospatial Intelligence Module</w:t>
      </w:r>
    </w:p>
    <w:p w14:paraId="01602D8B" w14:textId="77777777" w:rsidR="0039721F" w:rsidRDefault="00000000">
      <w:r>
        <w:t xml:space="preserve">The city bounding box is projected into UTM Zone 43N (EPSG:32643 — correct for North India) and tiled into 1&amp;nbsp;km × 1&amp;nbsp;km cells. Delhi NCR yields </w:t>
      </w:r>
      <w:r>
        <w:rPr>
          <w:b/>
        </w:rPr>
        <w:t>2,805 cells in a 55 × 51 array</w:t>
      </w:r>
      <w:r>
        <w:t>; grid generation is deterministic and idempotent (</w:t>
      </w:r>
      <w:r>
        <w:rPr>
          <w:rFonts w:ascii="Consolas" w:hAnsi="Consolas"/>
          <w:color w:val="8A2B2B"/>
          <w:sz w:val="19"/>
        </w:rPr>
        <w:t>grid_cells(grid_id, city_slug, geom POLYGON, centroid_lat, centroid_lon, row_idx, col_idx)</w:t>
      </w:r>
      <w:r>
        <w:t xml:space="preserve">), and </w:t>
      </w:r>
      <w:r>
        <w:rPr>
          <w:rFonts w:ascii="Consolas" w:hAnsi="Consolas"/>
          <w:color w:val="8A2B2B"/>
          <w:sz w:val="19"/>
        </w:rPr>
        <w:t>row_idx</w:t>
      </w:r>
      <w:r>
        <w:t>/</w:t>
      </w:r>
      <w:r>
        <w:rPr>
          <w:rFonts w:ascii="Consolas" w:hAnsi="Consolas"/>
          <w:color w:val="8A2B2B"/>
          <w:sz w:val="19"/>
        </w:rPr>
        <w:t>col_idx</w:t>
      </w:r>
      <w:r>
        <w:t xml:space="preserve"> give the ConvLSTM its 2D array layout at no extra cost.</w:t>
      </w:r>
    </w:p>
    <w:p w14:paraId="61BFD236" w14:textId="77777777" w:rsidR="0039721F" w:rsidRDefault="00000000">
      <w:r>
        <w:t xml:space="preserve">Every hour, irregular CAAQMS station readings are interpolated onto every cell centroid by </w:t>
      </w:r>
      <w:r>
        <w:rPr>
          <w:b/>
        </w:rPr>
        <w:t>Inverse Distance Weighting</w:t>
      </w:r>
      <w:r>
        <w:t>:</w:t>
      </w:r>
    </w:p>
    <w:p w14:paraId="16F03B9C" w14:textId="77777777" w:rsidR="0039721F" w:rsidRDefault="00000000">
      <w:pPr>
        <w:spacing w:before="80" w:after="160"/>
        <w:jc w:val="center"/>
      </w:pPr>
      <w:r>
        <w:rPr>
          <w:rFonts w:ascii="Cambria Math" w:hAnsi="Cambria Math"/>
          <w:i/>
          <w:color w:val="1F3A5F"/>
          <w:sz w:val="22"/>
        </w:rPr>
        <w:t>Ẑ(x₀) = ( Σᵢ wᵢ·Zᵢ ) / ( Σᵢ wᵢ ),      wᵢ = 1 / d(x₀, xᵢ)^p</w:t>
      </w:r>
    </w:p>
    <w:p w14:paraId="192B9462" w14:textId="77777777" w:rsidR="0039721F" w:rsidRDefault="00000000">
      <w:r>
        <w:t xml:space="preserve">with power </w:t>
      </w:r>
      <w:r>
        <w:rPr>
          <w:rFonts w:ascii="Consolas" w:hAnsi="Consolas"/>
          <w:color w:val="8A2B2B"/>
          <w:sz w:val="19"/>
        </w:rPr>
        <w:t>p = 2</w:t>
      </w:r>
      <w:r>
        <w:t xml:space="preserve"> and a 15&amp;nbsp;km search radius — a cell with no station in range gets </w:t>
      </w:r>
      <w:r>
        <w:rPr>
          <w:b/>
        </w:rPr>
        <w:t>no value at all</w:t>
      </w:r>
      <w:r>
        <w:t xml:space="preserve">, deliberately, rather than a falsely confident estimate. The implementation is fully vectorized (one distance matrix per parameter per hour via NumPy broadcasting, not a per‑cell Python loop), which is what makes building thousands of historical cubes for training tractable. Interpolation quality is validated by </w:t>
      </w:r>
      <w:r>
        <w:rPr>
          <w:b/>
        </w:rPr>
        <w:t>leave‑one‑out cross‑validation</w:t>
      </w:r>
      <w:r>
        <w:t>: each station is held out in turn, its value re‑estimated from the remaining stations, and the RMSE over all held‑out stations is reported — a real accuracy check against ground truth, not an assumption. Ordinary Kriging is documented as the variance‑aware upgrade path if IDW's LOO‑RMSE proves insufficient (not required for the current prototype).</w:t>
      </w:r>
    </w:p>
    <w:p w14:paraId="37E83CBB" w14:textId="77777777" w:rsidR="0039721F" w:rsidRDefault="00000000">
      <w:pPr>
        <w:pStyle w:val="Heading1"/>
      </w:pPr>
      <w:r>
        <w:t>17. AI &amp; Machine Learning Modules</w:t>
      </w:r>
    </w:p>
    <w:p w14:paraId="636EB68F" w14:textId="77777777" w:rsidR="0039721F" w:rsidRDefault="00000000">
      <w:r>
        <w:t>Three distinct AI/ML capabilities sit on top of the geospatial twin, each detailed in its own section below:</w:t>
      </w:r>
    </w:p>
    <w:p w14:paraId="295E89FB" w14:textId="77777777" w:rsidR="0039721F" w:rsidRDefault="00000000">
      <w:pPr>
        <w:pStyle w:val="ListBullet"/>
      </w:pPr>
      <w:r>
        <w:rPr>
          <w:b/>
        </w:rPr>
        <w:t>Forecasting</w:t>
      </w:r>
      <w:r>
        <w:t xml:space="preserve"> (Section 19) — a ConvLSTM spatio‑temporal deep learning model, trained on real held‑out data with a masked loss and a purged chronological split.</w:t>
      </w:r>
    </w:p>
    <w:p w14:paraId="2AE02998" w14:textId="77777777" w:rsidR="0039721F" w:rsidRDefault="00000000">
      <w:pPr>
        <w:pStyle w:val="ListBullet"/>
      </w:pPr>
      <w:r>
        <w:rPr>
          <w:b/>
        </w:rPr>
        <w:t>Multi‑agent reasoning</w:t>
      </w:r>
      <w:r>
        <w:t xml:space="preserve"> (Sections 18, 20, 21) — a LangGraph state machine combining deterministic, auditable scoring with LLM‑generated natural‑language rationale, never the LLM alone.</w:t>
      </w:r>
    </w:p>
    <w:p w14:paraId="74A863AA" w14:textId="77777777" w:rsidR="0039721F" w:rsidRDefault="00000000">
      <w:pPr>
        <w:pStyle w:val="ListBullet"/>
      </w:pPr>
      <w:r>
        <w:rPr>
          <w:b/>
        </w:rPr>
        <w:t>Multilingual generation</w:t>
      </w:r>
      <w:r>
        <w:t xml:space="preserve"> (Section 22) — LLM‑generated citizen advisory copy in six languages and scripts, each with a script‑correct deterministic fallback template.</w:t>
      </w:r>
    </w:p>
    <w:p w14:paraId="7B045A7A" w14:textId="77777777" w:rsidR="0039721F" w:rsidRDefault="00000000">
      <w:r>
        <w:t xml:space="preserve">A single design principle threads all three: </w:t>
      </w:r>
      <w:r>
        <w:rPr>
          <w:b/>
        </w:rPr>
        <w:t>the LLM never makes the decision, it explains a decision already made deterministically.</w:t>
      </w:r>
      <w:r>
        <w:t xml:space="preserve"> Source category, confidence score, and patrol ranking are all computed by auditable arithmetic over real evidence (fire FRP, land‑use density, PM2.5 magnitude); the LLM's role is exclusively to render that computed result as a readable rationale, and every LLM call is optional — its absence degrades the rationale's fluency, never the decision's correctness. This is why the pipeline reports </w:t>
      </w:r>
      <w:r>
        <w:rPr>
          <w:rFonts w:ascii="Consolas" w:hAnsi="Consolas"/>
          <w:color w:val="8A2B2B"/>
          <w:sz w:val="19"/>
        </w:rPr>
        <w:t>llm_used: true/false</w:t>
      </w:r>
      <w:r>
        <w:t xml:space="preserve"> on every response rather than hiding the distinction.</w:t>
      </w:r>
    </w:p>
    <w:p w14:paraId="711005E9" w14:textId="77777777" w:rsidR="0039721F" w:rsidRDefault="00000000">
      <w:pPr>
        <w:pStyle w:val="Heading1"/>
      </w:pPr>
      <w:r>
        <w:t>18. Multi-Agent System Design</w:t>
      </w:r>
    </w:p>
    <w:p w14:paraId="0EBFA4C6" w14:textId="77777777" w:rsidR="0039721F" w:rsidRDefault="00000000">
      <w:r>
        <w:rPr>
          <w:i/>
          <w:color w:val="606060"/>
          <w:sz w:val="18"/>
        </w:rPr>
        <w:t>[Diagram — renders visually in the published web artifact / SITEMAP-linked docs; source shown below]</w:t>
      </w:r>
    </w:p>
    <w:p w14:paraId="6920ED69" w14:textId="77777777" w:rsidR="0039721F" w:rsidRDefault="00000000">
      <w:pPr>
        <w:spacing w:after="0"/>
        <w:ind w:left="360"/>
      </w:pPr>
      <w:r>
        <w:rPr>
          <w:rFonts w:ascii="Consolas" w:hAnsi="Consolas"/>
          <w:color w:val="2F2F2F"/>
          <w:sz w:val="18"/>
        </w:rPr>
        <w:t>sequenceDiagram</w:t>
      </w:r>
    </w:p>
    <w:p w14:paraId="2F40B8CD" w14:textId="77777777" w:rsidR="0039721F" w:rsidRDefault="00000000">
      <w:pPr>
        <w:spacing w:after="0"/>
        <w:ind w:left="360"/>
      </w:pPr>
      <w:r>
        <w:rPr>
          <w:rFonts w:ascii="Consolas" w:hAnsi="Consolas"/>
          <w:color w:val="2F2F2F"/>
          <w:sz w:val="18"/>
        </w:rPr>
        <w:lastRenderedPageBreak/>
        <w:t xml:space="preserve">    participant M as Monitoring agent</w:t>
      </w:r>
    </w:p>
    <w:p w14:paraId="60FE5A46" w14:textId="77777777" w:rsidR="0039721F" w:rsidRDefault="00000000">
      <w:pPr>
        <w:spacing w:after="0"/>
        <w:ind w:left="360"/>
      </w:pPr>
      <w:r>
        <w:rPr>
          <w:rFonts w:ascii="Consolas" w:hAnsi="Consolas"/>
          <w:color w:val="2F2F2F"/>
          <w:sz w:val="18"/>
        </w:rPr>
        <w:t xml:space="preserve">    participant A as Attribution agent</w:t>
      </w:r>
    </w:p>
    <w:p w14:paraId="18DA2C6A" w14:textId="77777777" w:rsidR="0039721F" w:rsidRDefault="00000000">
      <w:pPr>
        <w:spacing w:after="0"/>
        <w:ind w:left="360"/>
      </w:pPr>
      <w:r>
        <w:rPr>
          <w:rFonts w:ascii="Consolas" w:hAnsi="Consolas"/>
          <w:color w:val="2F2F2F"/>
          <w:sz w:val="18"/>
        </w:rPr>
        <w:t xml:space="preserve">    participant E as Enforcement agent</w:t>
      </w:r>
    </w:p>
    <w:p w14:paraId="04E69117" w14:textId="77777777" w:rsidR="0039721F" w:rsidRDefault="00000000">
      <w:pPr>
        <w:spacing w:after="0"/>
        <w:ind w:left="360"/>
      </w:pPr>
      <w:r>
        <w:rPr>
          <w:rFonts w:ascii="Consolas" w:hAnsi="Consolas"/>
          <w:color w:val="2F2F2F"/>
          <w:sz w:val="18"/>
        </w:rPr>
        <w:t xml:space="preserve">    participant DB as PostGIS</w:t>
      </w:r>
    </w:p>
    <w:p w14:paraId="1C58C3C6" w14:textId="77777777" w:rsidR="0039721F" w:rsidRDefault="00000000">
      <w:pPr>
        <w:spacing w:after="0"/>
        <w:ind w:left="360"/>
      </w:pPr>
      <w:r>
        <w:rPr>
          <w:rFonts w:ascii="Consolas" w:hAnsi="Consolas"/>
          <w:color w:val="2F2F2F"/>
          <w:sz w:val="18"/>
        </w:rPr>
        <w:t xml:space="preserve">    participant LLM as Groq / Anthropic LLM</w:t>
      </w:r>
    </w:p>
    <w:p w14:paraId="145B410C" w14:textId="77777777" w:rsidR="0039721F" w:rsidRDefault="00000000">
      <w:pPr>
        <w:spacing w:after="0"/>
        <w:ind w:left="360"/>
      </w:pPr>
      <w:r>
        <w:rPr>
          <w:rFonts w:ascii="Consolas" w:hAnsi="Consolas"/>
          <w:color w:val="2F2F2F"/>
          <w:sz w:val="18"/>
        </w:rPr>
        <w:t xml:space="preserve"> </w:t>
      </w:r>
    </w:p>
    <w:p w14:paraId="0BDB3318" w14:textId="77777777" w:rsidR="0039721F" w:rsidRDefault="00000000">
      <w:pPr>
        <w:spacing w:after="0"/>
        <w:ind w:left="360"/>
      </w:pPr>
      <w:r>
        <w:rPr>
          <w:rFonts w:ascii="Consolas" w:hAnsi="Consolas"/>
          <w:color w:val="2F2F2F"/>
          <w:sz w:val="18"/>
        </w:rPr>
        <w:t xml:space="preserve">    M-&gt;&gt;M: scan latest grid state for PM2.5 &gt; 150 µg/m³ (or a staged synthetic anomaly)</w:t>
      </w:r>
    </w:p>
    <w:p w14:paraId="7343C900" w14:textId="77777777" w:rsidR="0039721F" w:rsidRDefault="00000000">
      <w:pPr>
        <w:spacing w:after="0"/>
        <w:ind w:left="360"/>
      </w:pPr>
      <w:r>
        <w:rPr>
          <w:rFonts w:ascii="Consolas" w:hAnsi="Consolas"/>
          <w:color w:val="2F2F2F"/>
          <w:sz w:val="18"/>
        </w:rPr>
        <w:t xml:space="preserve">    M-&gt;&gt;A: AnomalyAlert{grid_id, forecast_value, timestamp, synthetic}</w:t>
      </w:r>
    </w:p>
    <w:p w14:paraId="0A83086E" w14:textId="77777777" w:rsidR="0039721F" w:rsidRDefault="00000000">
      <w:pPr>
        <w:spacing w:after="0"/>
        <w:ind w:left="360"/>
      </w:pPr>
      <w:r>
        <w:rPr>
          <w:rFonts w:ascii="Consolas" w:hAnsi="Consolas"/>
          <w:color w:val="2F2F2F"/>
          <w:sz w:val="18"/>
        </w:rPr>
        <w:t xml:space="preserve">    A-&gt;&gt;DB: fires within 50km, filtered to a 60° upwind cone from current wind</w:t>
      </w:r>
    </w:p>
    <w:p w14:paraId="5FE70826" w14:textId="77777777" w:rsidR="0039721F" w:rsidRDefault="00000000">
      <w:pPr>
        <w:spacing w:after="0"/>
        <w:ind w:left="360"/>
      </w:pPr>
      <w:r>
        <w:rPr>
          <w:rFonts w:ascii="Consolas" w:hAnsi="Consolas"/>
          <w:color w:val="2F2F2F"/>
          <w:sz w:val="18"/>
        </w:rPr>
        <w:t xml:space="preserve">    A-&gt;&gt;DB: industrial/highway OSM density within 1.5km of the cell</w:t>
      </w:r>
    </w:p>
    <w:p w14:paraId="3D308FBE" w14:textId="77777777" w:rsidR="0039721F" w:rsidRDefault="00000000">
      <w:pPr>
        <w:spacing w:after="0"/>
        <w:ind w:left="360"/>
      </w:pPr>
      <w:r>
        <w:rPr>
          <w:rFonts w:ascii="Consolas" w:hAnsi="Consolas"/>
          <w:color w:val="2F2F2F"/>
          <w:sz w:val="18"/>
        </w:rPr>
        <w:t xml:space="preserve">    A-&gt;&gt;LLM: evidence bundle -&gt; forensic rationale (fallback: templated text)</w:t>
      </w:r>
    </w:p>
    <w:p w14:paraId="0B07421F" w14:textId="77777777" w:rsidR="0039721F" w:rsidRDefault="00000000">
      <w:pPr>
        <w:spacing w:after="0"/>
        <w:ind w:left="360"/>
      </w:pPr>
      <w:r>
        <w:rPr>
          <w:rFonts w:ascii="Consolas" w:hAnsi="Consolas"/>
          <w:color w:val="2F2F2F"/>
          <w:sz w:val="18"/>
        </w:rPr>
        <w:t xml:space="preserve">    A-&gt;&gt;E: AttributionResult{source_category, confidence, evidence[], llm_used}</w:t>
      </w:r>
    </w:p>
    <w:p w14:paraId="3080476D" w14:textId="77777777" w:rsidR="0039721F" w:rsidRDefault="00000000">
      <w:pPr>
        <w:spacing w:after="0"/>
        <w:ind w:left="360"/>
      </w:pPr>
      <w:r>
        <w:rPr>
          <w:rFonts w:ascii="Consolas" w:hAnsi="Consolas"/>
          <w:color w:val="2F2F2F"/>
          <w:sz w:val="18"/>
        </w:rPr>
        <w:t xml:space="preserve">    E-&gt;&gt;DB: rank cells by PM2.5 magnitude × residential density within 1.5km</w:t>
      </w:r>
    </w:p>
    <w:p w14:paraId="4440E1DC" w14:textId="77777777" w:rsidR="0039721F" w:rsidRDefault="00000000">
      <w:pPr>
        <w:spacing w:after="0"/>
        <w:ind w:left="360"/>
      </w:pPr>
      <w:r>
        <w:rPr>
          <w:rFonts w:ascii="Consolas" w:hAnsi="Consolas"/>
          <w:color w:val="2F2F2F"/>
          <w:sz w:val="18"/>
        </w:rPr>
        <w:t xml:space="preserve">    E-&gt;&gt;LLM: ranked stops -&gt; dispatch instruction (fallback: templated text)</w:t>
      </w:r>
    </w:p>
    <w:p w14:paraId="082596C8" w14:textId="77777777" w:rsidR="0039721F" w:rsidRDefault="00000000">
      <w:pPr>
        <w:spacing w:after="0"/>
        <w:ind w:left="360"/>
      </w:pPr>
      <w:r>
        <w:rPr>
          <w:rFonts w:ascii="Consolas" w:hAnsi="Consolas"/>
          <w:color w:val="2F2F2F"/>
          <w:sz w:val="18"/>
        </w:rPr>
        <w:t xml:space="preserve">    E--&gt;&gt;M: EnforcementPlan{ranked_cells, route_summary, rationale, llm_used}</w:t>
      </w:r>
    </w:p>
    <w:p w14:paraId="251632AD" w14:textId="77777777" w:rsidR="0039721F" w:rsidRDefault="00000000">
      <w:r>
        <w:t xml:space="preserve">Implemented with </w:t>
      </w:r>
      <w:r>
        <w:rPr>
          <w:b/>
        </w:rPr>
        <w:t>LangGraph</w:t>
      </w:r>
      <w:r>
        <w:t xml:space="preserve"> (</w:t>
      </w:r>
      <w:r>
        <w:rPr>
          <w:rFonts w:ascii="Consolas" w:hAnsi="Consolas"/>
          <w:color w:val="8A2B2B"/>
          <w:sz w:val="19"/>
        </w:rPr>
        <w:t>app/agents/graph.py</w:t>
      </w:r>
      <w:r>
        <w:t xml:space="preserve">) as a </w:t>
      </w:r>
      <w:r>
        <w:rPr>
          <w:rFonts w:ascii="Consolas" w:hAnsi="Consolas"/>
          <w:color w:val="8A2B2B"/>
          <w:sz w:val="19"/>
        </w:rPr>
        <w:t>StateGraph</w:t>
      </w:r>
      <w:r>
        <w:t xml:space="preserve"> over a single typed </w:t>
      </w:r>
      <w:r>
        <w:rPr>
          <w:rFonts w:ascii="Consolas" w:hAnsi="Consolas"/>
          <w:color w:val="8A2B2B"/>
          <w:sz w:val="19"/>
        </w:rPr>
        <w:t>AgentState</w:t>
      </w:r>
      <w:r>
        <w:t xml:space="preserve"> (a </w:t>
      </w:r>
      <w:r>
        <w:rPr>
          <w:rFonts w:ascii="Consolas" w:hAnsi="Consolas"/>
          <w:color w:val="8A2B2B"/>
          <w:sz w:val="19"/>
        </w:rPr>
        <w:t>TypedDict</w:t>
      </w:r>
      <w:r>
        <w:t xml:space="preserve"> carrying the DB session, city, threshold, and each stage's output). The conditional edge after </w:t>
      </w:r>
      <w:r>
        <w:rPr>
          <w:rFonts w:ascii="Consolas" w:hAnsi="Consolas"/>
          <w:color w:val="8A2B2B"/>
          <w:sz w:val="19"/>
        </w:rPr>
        <w:t>monitor</w:t>
      </w:r>
      <w:r>
        <w:t xml:space="preserve"> routes straight to </w:t>
      </w:r>
      <w:r>
        <w:rPr>
          <w:rFonts w:ascii="Consolas" w:hAnsi="Consolas"/>
          <w:color w:val="8A2B2B"/>
          <w:sz w:val="19"/>
        </w:rPr>
        <w:t>END</w:t>
      </w:r>
      <w:r>
        <w:t xml:space="preserve"> when no anomaly is found — no wasted LLM calls when there is nothing to attribute. Every inter‑agent handoff is a Pydantic model (</w:t>
      </w:r>
      <w:r>
        <w:rPr>
          <w:rFonts w:ascii="Consolas" w:hAnsi="Consolas"/>
          <w:color w:val="8A2B2B"/>
          <w:sz w:val="19"/>
        </w:rPr>
        <w:t>AnomalyAlert</w:t>
      </w:r>
      <w:r>
        <w:t xml:space="preserve">, </w:t>
      </w:r>
      <w:r>
        <w:rPr>
          <w:rFonts w:ascii="Consolas" w:hAnsi="Consolas"/>
          <w:color w:val="8A2B2B"/>
          <w:sz w:val="19"/>
        </w:rPr>
        <w:t>EvidenceItem</w:t>
      </w:r>
      <w:r>
        <w:t xml:space="preserve">, </w:t>
      </w:r>
      <w:r>
        <w:rPr>
          <w:rFonts w:ascii="Consolas" w:hAnsi="Consolas"/>
          <w:color w:val="8A2B2B"/>
          <w:sz w:val="19"/>
        </w:rPr>
        <w:t>AttributionResult</w:t>
      </w:r>
      <w:r>
        <w:t xml:space="preserve">, </w:t>
      </w:r>
      <w:r>
        <w:rPr>
          <w:rFonts w:ascii="Consolas" w:hAnsi="Consolas"/>
          <w:color w:val="8A2B2B"/>
          <w:sz w:val="19"/>
        </w:rPr>
        <w:t>PatrolStop</w:t>
      </w:r>
      <w:r>
        <w:t xml:space="preserve">, </w:t>
      </w:r>
      <w:r>
        <w:rPr>
          <w:rFonts w:ascii="Consolas" w:hAnsi="Consolas"/>
          <w:color w:val="8A2B2B"/>
          <w:sz w:val="19"/>
        </w:rPr>
        <w:t>EnforcementPlan</w:t>
      </w:r>
      <w:r>
        <w:t xml:space="preserve">, </w:t>
      </w:r>
      <w:r>
        <w:rPr>
          <w:rFonts w:ascii="Consolas" w:hAnsi="Consolas"/>
          <w:color w:val="8A2B2B"/>
          <w:sz w:val="19"/>
        </w:rPr>
        <w:t>AgentRunResult</w:t>
      </w:r>
      <w:r>
        <w:t xml:space="preserve"> — see </w:t>
      </w:r>
      <w:r>
        <w:rPr>
          <w:rFonts w:ascii="Consolas" w:hAnsi="Consolas"/>
          <w:color w:val="8A2B2B"/>
          <w:sz w:val="19"/>
        </w:rPr>
        <w:t>app/agents/schemas.py</w:t>
      </w:r>
      <w:r>
        <w:t>), so the exact objects the graph passed between nodes are what the frontend renders — an administrator sees the agents' actual working state, not a paraphrase.</w:t>
      </w:r>
    </w:p>
    <w:p w14:paraId="5FA2DD47" w14:textId="77777777" w:rsidR="0039721F" w:rsidRDefault="00000000">
      <w:r>
        <w:t>The graph is compiled once (</w:t>
      </w:r>
      <w:r>
        <w:rPr>
          <w:rFonts w:ascii="Consolas" w:hAnsi="Consolas"/>
          <w:color w:val="8A2B2B"/>
          <w:sz w:val="19"/>
        </w:rPr>
        <w:t>_GRAPH</w:t>
      </w:r>
      <w:r>
        <w:t xml:space="preserve"> module‑level singleton) and invoked per run via </w:t>
      </w:r>
      <w:r>
        <w:rPr>
          <w:rFonts w:ascii="Consolas" w:hAnsi="Consolas"/>
          <w:color w:val="8A2B2B"/>
          <w:sz w:val="19"/>
        </w:rPr>
        <w:t>run_agents(db, city_slug, threshold, synthetic_grid_id)</w:t>
      </w:r>
      <w:r>
        <w:t xml:space="preserve">. Because real anomalies may not occur during a demo window (July is monsoon season — verified live: zero fires near Delhi), </w:t>
      </w:r>
      <w:r>
        <w:rPr>
          <w:rFonts w:ascii="Consolas" w:hAnsi="Consolas"/>
          <w:color w:val="8A2B2B"/>
          <w:sz w:val="19"/>
        </w:rPr>
        <w:t>POST /agents/run?synthetic_grid_id=</w:t>
      </w:r>
      <w:r>
        <w:t xml:space="preserve"> stages a synthetic anomaly at a chosen cell and runs the full graph against otherwise real, live data — the injection is honestly flagged </w:t>
      </w:r>
      <w:r>
        <w:rPr>
          <w:rFonts w:ascii="Consolas" w:hAnsi="Consolas"/>
          <w:color w:val="8A2B2B"/>
          <w:sz w:val="19"/>
        </w:rPr>
        <w:t>synthetic: true</w:t>
      </w:r>
      <w:r>
        <w:t xml:space="preserve"> end‑to‑end, never disguised as an organic detection.</w:t>
      </w:r>
    </w:p>
    <w:p w14:paraId="060FE31C" w14:textId="77777777" w:rsidR="0039721F" w:rsidRDefault="00000000">
      <w:pPr>
        <w:pStyle w:val="Heading1"/>
      </w:pPr>
      <w:r>
        <w:t>19. Prediction and Forecasting Engine</w:t>
      </w:r>
    </w:p>
    <w:p w14:paraId="2A885562" w14:textId="77777777" w:rsidR="0039721F" w:rsidRDefault="00000000">
      <w:r>
        <w:rPr>
          <w:b/>
        </w:rPr>
        <w:t>Architecture.</w:t>
      </w:r>
      <w:r>
        <w:t xml:space="preserve"> A ConvLSTM forecaster (</w:t>
      </w:r>
      <w:r>
        <w:rPr>
          <w:rFonts w:ascii="Consolas" w:hAnsi="Consolas"/>
          <w:color w:val="8A2B2B"/>
          <w:sz w:val="19"/>
        </w:rPr>
        <w:t>app/models/convlstm.py</w:t>
      </w:r>
      <w:r>
        <w:t xml:space="preserve">): 2 stacked </w:t>
      </w:r>
      <w:r>
        <w:rPr>
          <w:rFonts w:ascii="Consolas" w:hAnsi="Consolas"/>
          <w:color w:val="8A2B2B"/>
          <w:sz w:val="19"/>
        </w:rPr>
        <w:t>ConvLSTMCell</w:t>
      </w:r>
      <w:r>
        <w:t xml:space="preserve"> layers, 32 hidden channels, 3×3 convolutional kernels with same‑padding, feeding a 1×1 convolutional head. Each cell fuses the current input cube with its own hidden state through one convolution producing all four LSTM gates at once, so 2D spatial structure is preserved through every timestep rather than flattened away — the same architectural move Shi et al. (2015) introduced for precipitation nowcasting (Section 4).</w:t>
      </w:r>
    </w:p>
    <w:p w14:paraId="4B404A85" w14:textId="77777777" w:rsidR="0039721F" w:rsidRDefault="00000000">
      <w:r>
        <w:t xml:space="preserve">Input: a sliding window of </w:t>
      </w:r>
      <w:r>
        <w:rPr>
          <w:rFonts w:ascii="Consolas" w:hAnsi="Consolas"/>
          <w:color w:val="8A2B2B"/>
          <w:sz w:val="19"/>
        </w:rPr>
        <w:t>T</w:t>
      </w:r>
      <w:r>
        <w:t xml:space="preserve"> hourly 13‑channel cubes, shape </w:t>
      </w:r>
      <w:r>
        <w:rPr>
          <w:rFonts w:ascii="Consolas" w:hAnsi="Consolas"/>
          <w:color w:val="8A2B2B"/>
          <w:sz w:val="19"/>
        </w:rPr>
        <w:t>(B, T, C, H, W)</w:t>
      </w:r>
      <w:r>
        <w:t xml:space="preserve">. Output: the predicted PM2.5 grid one step ahead, </w:t>
      </w:r>
      <w:r>
        <w:rPr>
          <w:rFonts w:ascii="Consolas" w:hAnsi="Consolas"/>
          <w:color w:val="8A2B2B"/>
          <w:sz w:val="19"/>
        </w:rPr>
        <w:t>(B, H, W)</w:t>
      </w:r>
      <w:r>
        <w:t xml:space="preserve">. Longer horizons are produced by </w:t>
      </w:r>
      <w:r>
        <w:rPr>
          <w:b/>
        </w:rPr>
        <w:t>autoregressive rollout</w:t>
      </w:r>
      <w:r>
        <w:t xml:space="preserve"> at serving time: each predicted frame is written back into the pm25 channel of the next input window, and (critically) the time‑of‑day (</w:t>
      </w:r>
      <w:r>
        <w:rPr>
          <w:rFonts w:ascii="Consolas" w:hAnsi="Consolas"/>
          <w:color w:val="8A2B2B"/>
          <w:sz w:val="19"/>
        </w:rPr>
        <w:t>hod_sin</w:t>
      </w:r>
      <w:r>
        <w:t>/</w:t>
      </w:r>
      <w:r>
        <w:rPr>
          <w:rFonts w:ascii="Consolas" w:hAnsi="Consolas"/>
          <w:color w:val="8A2B2B"/>
          <w:sz w:val="19"/>
        </w:rPr>
        <w:t>hod_cos</w:t>
      </w:r>
      <w:r>
        <w:t>) and meteorology channels are also advanced at each rollout step from Open‑Meteo's forecast rows, rather than freezing at the last observed hour.</w:t>
      </w:r>
    </w:p>
    <w:p w14:paraId="7C77B9D0" w14:textId="77777777" w:rsidR="0039721F" w:rsidRDefault="00000000">
      <w:r>
        <w:rPr>
          <w:b/>
        </w:rPr>
        <w:t>Training regime</w:t>
      </w:r>
      <w:r>
        <w:t xml:space="preserve"> (</w:t>
      </w:r>
      <w:r>
        <w:rPr>
          <w:rFonts w:ascii="Consolas" w:hAnsi="Consolas"/>
          <w:color w:val="8A2B2B"/>
          <w:sz w:val="19"/>
        </w:rPr>
        <w:t>app/models/train.py</w:t>
      </w:r>
      <w:r>
        <w:t>):</w:t>
      </w:r>
    </w:p>
    <w:p w14:paraId="1820572D" w14:textId="77777777" w:rsidR="0039721F" w:rsidRDefault="00000000">
      <w:pPr>
        <w:pStyle w:val="ListBullet"/>
      </w:pPr>
      <w:r>
        <w:rPr>
          <w:b/>
        </w:rPr>
        <w:t>Masked MSE loss</w:t>
      </w:r>
      <w:r>
        <w:t xml:space="preserve"> — unobserved (NaN) target cells are excluded from the loss entirely, never filled with the channel mean, so the model is never dragged toward predicting an average value it never actually observed.</w:t>
      </w:r>
    </w:p>
    <w:p w14:paraId="2BBD2181" w14:textId="77777777" w:rsidR="0039721F" w:rsidRDefault="00000000">
      <w:pPr>
        <w:pStyle w:val="ListBullet"/>
      </w:pPr>
      <w:r>
        <w:rPr>
          <w:b/>
        </w:rPr>
        <w:lastRenderedPageBreak/>
        <w:t>Purged chronological split</w:t>
      </w:r>
      <w:r>
        <w:t xml:space="preserve"> — 70% train / 15% val / 15% test, split by time (never shuffled, which would leak future information backward), with a purge gap equal to </w:t>
      </w:r>
      <w:r>
        <w:rPr>
          <w:rFonts w:ascii="Consolas" w:hAnsi="Consolas"/>
          <w:color w:val="8A2B2B"/>
          <w:sz w:val="19"/>
        </w:rPr>
        <w:t>window + horizon − 1</w:t>
      </w:r>
      <w:r>
        <w:t xml:space="preserve"> so adjacent windows sharing hours cannot straddle the train/test boundary.</w:t>
      </w:r>
    </w:p>
    <w:p w14:paraId="11BB28A2" w14:textId="77777777" w:rsidR="0039721F" w:rsidRDefault="00000000">
      <w:pPr>
        <w:pStyle w:val="ListBullet"/>
      </w:pPr>
      <w:r>
        <w:t xml:space="preserve">Normalization statistics (mean/std/median) are computed from the </w:t>
      </w:r>
      <w:r>
        <w:rPr>
          <w:b/>
        </w:rPr>
        <w:t>training fraction only</w:t>
      </w:r>
      <w:r>
        <w:t xml:space="preserve"> and persisted inside the checkpoint, so serving normalizes identically to training rather than recomputing stats from whatever happens to be in the database at inference time.</w:t>
      </w:r>
    </w:p>
    <w:p w14:paraId="54128F5D" w14:textId="77777777" w:rsidR="0039721F" w:rsidRDefault="00000000">
      <w:pPr>
        <w:pStyle w:val="ListBullet"/>
      </w:pPr>
      <w:r>
        <w:t xml:space="preserve">Gradient clipping (norm 1.0), </w:t>
      </w:r>
      <w:r>
        <w:rPr>
          <w:rFonts w:ascii="Consolas" w:hAnsi="Consolas"/>
          <w:color w:val="8A2B2B"/>
          <w:sz w:val="19"/>
        </w:rPr>
        <w:t>ReduceLROnPlateau</w:t>
      </w:r>
      <w:r>
        <w:t>, early stopping (patience 8 epochs on validation RMSE), and full seeding (</w:t>
      </w:r>
      <w:r>
        <w:rPr>
          <w:rFonts w:ascii="Consolas" w:hAnsi="Consolas"/>
          <w:color w:val="8A2B2B"/>
          <w:sz w:val="19"/>
        </w:rPr>
        <w:t>SEED=42</w:t>
      </w:r>
      <w:r>
        <w:t>) for reproducibility.</w:t>
      </w:r>
    </w:p>
    <w:p w14:paraId="6712CBAF" w14:textId="77777777" w:rsidR="0039721F" w:rsidRDefault="00000000">
      <w:pPr>
        <w:pStyle w:val="ListBullet"/>
      </w:pPr>
      <w:r>
        <w:t xml:space="preserve">A </w:t>
      </w:r>
      <w:r>
        <w:rPr>
          <w:rFonts w:ascii="Consolas" w:hAnsi="Consolas"/>
          <w:color w:val="8A2B2B"/>
          <w:sz w:val="19"/>
        </w:rPr>
        <w:t>--residual</w:t>
      </w:r>
      <w:r>
        <w:t xml:space="preserve"> training mode predicts the *correction* to the persistence frame rather than the absolute value — an explicit, documented attack on the diurnal‑cycle advantage persistence enjoys at 24h (Section 32). Residual checkpoints are refused by the serving path (</w:t>
      </w:r>
      <w:r>
        <w:rPr>
          <w:rFonts w:ascii="Consolas" w:hAnsi="Consolas"/>
          <w:color w:val="8A2B2B"/>
          <w:sz w:val="19"/>
        </w:rPr>
        <w:t>inference.py</w:t>
      </w:r>
      <w:r>
        <w:t xml:space="preserve"> logs an error and declines to load them) so a horizon‑evaluation‑only artifact can never accidentally be served as a rollout model.</w:t>
      </w:r>
    </w:p>
    <w:p w14:paraId="571CDDCD" w14:textId="77777777" w:rsidR="0039721F" w:rsidRDefault="00000000">
      <w:r>
        <w:rPr>
          <w:b/>
        </w:rPr>
        <w:t>Serving</w:t>
      </w:r>
      <w:r>
        <w:t xml:space="preserve"> (</w:t>
      </w:r>
      <w:r>
        <w:rPr>
          <w:rFonts w:ascii="Consolas" w:hAnsi="Consolas"/>
          <w:color w:val="8A2B2B"/>
          <w:sz w:val="19"/>
        </w:rPr>
        <w:t>app/models/inference.py</w:t>
      </w:r>
      <w:r>
        <w:t>): the checkpoint is loaded once and cached, keyed by file mtime so a freshly retrained checkpoint is picked up automatically on the next request — no process restart. Inputs are normalized with the *checkpoint's own* persisted stats, never re‑derived from the live database. An older, lower‑channel‑count checkpoint continues to serve on newer, higher‑channel cubes by slicing off the trailing channels automatically, so there is no forced downtime between a cube‑schema change and a retrain.</w:t>
      </w:r>
    </w:p>
    <w:p w14:paraId="0975EA87" w14:textId="77777777" w:rsidR="0039721F" w:rsidRDefault="00000000">
      <w:pPr>
        <w:pStyle w:val="Heading1"/>
      </w:pPr>
      <w:r>
        <w:t>20. Pollution Source Attribution Engine</w:t>
      </w:r>
    </w:p>
    <w:p w14:paraId="0BB2E37C" w14:textId="77777777" w:rsidR="0039721F" w:rsidRDefault="00000000">
      <w:r>
        <w:t xml:space="preserve">Implemented in </w:t>
      </w:r>
      <w:r>
        <w:rPr>
          <w:rFonts w:ascii="Consolas" w:hAnsi="Consolas"/>
          <w:color w:val="8A2B2B"/>
          <w:sz w:val="19"/>
        </w:rPr>
        <w:t>attribution_node</w:t>
      </w:r>
      <w:r>
        <w:t xml:space="preserve"> (</w:t>
      </w:r>
      <w:r>
        <w:rPr>
          <w:rFonts w:ascii="Consolas" w:hAnsi="Consolas"/>
          <w:color w:val="8A2B2B"/>
          <w:sz w:val="19"/>
        </w:rPr>
        <w:t>app/agents/graph.py</w:t>
      </w:r>
      <w:r>
        <w:t>). For a flagged cell, the engine gathers three evidence classes, each a real database query, not a heuristic guess:</w:t>
      </w:r>
    </w:p>
    <w:p w14:paraId="68CDC67D" w14:textId="77777777" w:rsidR="0039721F" w:rsidRDefault="00000000">
      <w:pPr>
        <w:pStyle w:val="ListNumber"/>
        <w:numPr>
          <w:ilvl w:val="0"/>
          <w:numId w:val="12"/>
        </w:numPr>
      </w:pPr>
      <w:r>
        <w:rPr>
          <w:b/>
        </w:rPr>
        <w:t>Wind context</w:t>
      </w:r>
      <w:r>
        <w:t xml:space="preserve"> — current wind‑from bearing and speed at the cell (from the meteorology puller).</w:t>
      </w:r>
    </w:p>
    <w:p w14:paraId="39449D53" w14:textId="77777777" w:rsidR="0039721F" w:rsidRDefault="00000000">
      <w:pPr>
        <w:pStyle w:val="ListNumber"/>
      </w:pPr>
      <w:r>
        <w:rPr>
          <w:b/>
        </w:rPr>
        <w:t>Upwind fire evidence</w:t>
      </w:r>
      <w:r>
        <w:t xml:space="preserve"> — FIRMS fire detections within a 50&amp;nbsp;km radius, filtered to those falling inside a </w:t>
      </w:r>
      <w:r>
        <w:rPr>
          <w:b/>
        </w:rPr>
        <w:t>60° upwind sector</w:t>
      </w:r>
      <w:r>
        <w:t xml:space="preserve"> computed from the live wind bearing (great‑circle bearing math, vectorized over all fires in one bounding‑box‑prefiltered pass); total Fire Radiative Power (MW) and count are reported as evidence.</w:t>
      </w:r>
    </w:p>
    <w:p w14:paraId="185452EB" w14:textId="77777777" w:rsidR="0039721F" w:rsidRDefault="00000000">
      <w:pPr>
        <w:pStyle w:val="ListNumber"/>
      </w:pPr>
      <w:r>
        <w:rPr>
          <w:b/>
        </w:rPr>
        <w:t>Land‑use context</w:t>
      </w:r>
      <w:r>
        <w:t xml:space="preserve"> — industrial land‑use polygon count and primary/trunk highway segment count from OSM within 1.5&amp;nbsp;km of the cell.</w:t>
      </w:r>
    </w:p>
    <w:p w14:paraId="75FDCC12" w14:textId="77777777" w:rsidR="0039721F" w:rsidRDefault="00000000">
      <w:r>
        <w:rPr>
          <w:b/>
        </w:rPr>
        <w:t>Deterministic scoring</w:t>
      </w:r>
      <w:r>
        <w:t xml:space="preserve"> (auditable, not learned):</w:t>
      </w:r>
    </w:p>
    <w:p w14:paraId="248AD26A" w14:textId="77777777" w:rsidR="0039721F" w:rsidRDefault="00000000">
      <w:pPr>
        <w:spacing w:before="80" w:after="160"/>
        <w:jc w:val="center"/>
      </w:pPr>
      <w:r>
        <w:rPr>
          <w:rFonts w:ascii="Cambria Math" w:hAnsi="Cambria Math"/>
          <w:i/>
          <w:color w:val="1F3A5F"/>
          <w:sz w:val="22"/>
        </w:rPr>
        <w:t>score_biomass      = min( upwind FRP / 100, 1 )</w:t>
      </w:r>
      <w:r>
        <w:br/>
      </w:r>
      <w:r>
        <w:rPr>
          <w:rFonts w:ascii="Cambria Math" w:hAnsi="Cambria Math"/>
          <w:i/>
          <w:color w:val="1F3A5F"/>
          <w:sz w:val="22"/>
        </w:rPr>
        <w:t>score_industrial   = min( industrial count / 10, 1 )</w:t>
      </w:r>
      <w:r>
        <w:br/>
      </w:r>
      <w:r>
        <w:rPr>
          <w:rFonts w:ascii="Cambria Math" w:hAnsi="Cambria Math"/>
          <w:i/>
          <w:color w:val="1F3A5F"/>
          <w:sz w:val="22"/>
        </w:rPr>
        <w:t>score_vehicular    = min( highway count / 20, 1 ) x { 1.5 if peak commute hour, else 1 }</w:t>
      </w:r>
    </w:p>
    <w:p w14:paraId="7CB6FA5B" w14:textId="77777777" w:rsidR="0039721F" w:rsidRDefault="00000000">
      <w:r>
        <w:t xml:space="preserve">The argmax score becomes </w:t>
      </w:r>
      <w:r>
        <w:rPr>
          <w:rFonts w:ascii="Consolas" w:hAnsi="Consolas"/>
          <w:color w:val="8A2B2B"/>
          <w:sz w:val="19"/>
        </w:rPr>
        <w:t>source_category</w:t>
      </w:r>
      <w:r>
        <w:t xml:space="preserve">; if the winning score is below 0.15 the category degrades to </w:t>
      </w:r>
      <w:r>
        <w:rPr>
          <w:rFonts w:ascii="Consolas" w:hAnsi="Consolas"/>
          <w:color w:val="8A2B2B"/>
          <w:sz w:val="19"/>
        </w:rPr>
        <w:t>mixed/unknown</w:t>
      </w:r>
      <w:r>
        <w:t xml:space="preserve"> at a fixed confidence of 0.3 rather than reporting false certainty on thin evidence. Peak‑commute hours are approximated as 07:30–09:30 and 17:30–19:30 IST (UTC+5:30, hence the UTC‑hour checks in code). The LLM ("Environmental Forensics Expert" system prompt) is then given the evidence list and the computed scores and asked to *explain* — not recompute — the attribution in 3–4 sentences; on any LLM failure a fully deterministic fallback sentence built from the same scores is served instead, and the response's </w:t>
      </w:r>
      <w:r>
        <w:rPr>
          <w:rFonts w:ascii="Consolas" w:hAnsi="Consolas"/>
          <w:color w:val="8A2B2B"/>
          <w:sz w:val="19"/>
        </w:rPr>
        <w:t>llm_used</w:t>
      </w:r>
      <w:r>
        <w:t xml:space="preserve"> flag tells the caller which happened.</w:t>
      </w:r>
    </w:p>
    <w:p w14:paraId="12AF6AB3" w14:textId="77777777" w:rsidR="0039721F" w:rsidRDefault="00000000">
      <w:r>
        <w:rPr>
          <w:b/>
        </w:rPr>
        <w:t>A deliberate, documented implementation choice:</w:t>
      </w:r>
      <w:r>
        <w:t xml:space="preserve"> the anomaly trigger threshold (150 µg/m³ PM2.5) is pinned to CPCB's own "Very Poor" operational band, not to the WHO 24‑hour PM2.5 guideline (15 µg/m³, over an order of magnitude stricter). This keeps the trigger calibrated to what an Indian enforcement workflow actually treats as actionable, and is called out explicitly here rather than left as an unexplained magic number in the code.</w:t>
      </w:r>
    </w:p>
    <w:p w14:paraId="6E9D0F65" w14:textId="77777777" w:rsidR="0039721F" w:rsidRDefault="00000000">
      <w:pPr>
        <w:pStyle w:val="Heading1"/>
      </w:pPr>
      <w:r>
        <w:lastRenderedPageBreak/>
        <w:t>21. Enforcement Intelligence Module</w:t>
      </w:r>
    </w:p>
    <w:p w14:paraId="1A6482A4" w14:textId="77777777" w:rsidR="0039721F" w:rsidRDefault="00000000">
      <w:r>
        <w:t xml:space="preserve">Implemented in </w:t>
      </w:r>
      <w:r>
        <w:rPr>
          <w:rFonts w:ascii="Consolas" w:hAnsi="Consolas"/>
          <w:color w:val="8A2B2B"/>
          <w:sz w:val="19"/>
        </w:rPr>
        <w:t>enforcement_node</w:t>
      </w:r>
      <w:r>
        <w:t>. Given an attributed anomaly, every cell in the latest gridded snapshot is scored by:</w:t>
      </w:r>
    </w:p>
    <w:p w14:paraId="1CF48541" w14:textId="77777777" w:rsidR="0039721F" w:rsidRDefault="00000000">
      <w:pPr>
        <w:spacing w:before="80" w:after="160"/>
        <w:jc w:val="center"/>
      </w:pPr>
      <w:r>
        <w:rPr>
          <w:rFonts w:ascii="Cambria Math" w:hAnsi="Cambria Math"/>
          <w:i/>
          <w:color w:val="1F3A5F"/>
          <w:sz w:val="22"/>
        </w:rPr>
        <w:t>priority(cell) = PM2.5(cell) x ( 1 + residential_density(cell) )</w:t>
      </w:r>
    </w:p>
    <w:p w14:paraId="6BA8C083" w14:textId="77777777" w:rsidR="0039721F" w:rsidRDefault="00000000">
      <w:r>
        <w:t xml:space="preserve">where residential density is the count of OSM </w:t>
      </w:r>
      <w:r>
        <w:rPr>
          <w:rFonts w:ascii="Consolas" w:hAnsi="Consolas"/>
          <w:color w:val="8A2B2B"/>
          <w:sz w:val="19"/>
        </w:rPr>
        <w:t>landuse=residential</w:t>
      </w:r>
      <w:r>
        <w:t xml:space="preserve"> polygons within 1.5&amp;nbsp;km — computed for every candidate cell in one vectorized (cells × residential‑features) pass rather than a per‑cell distance loop, which was previously tens of millions of scalar operations per run. The top‑5 highest‑priority cells become patrol stops, chained into a route by repeated nearest‑neighbour selection from the anomaly site — a genuine (if geometry‑only, not road‑network‑aware) routing decision, with total route distance reported in kilometres. The "Municipal Dispatch Coordinator" LLM persona then writes a 3‑sentence dispatch instruction referencing the attributed source and what inspectors should verify at each stop, with the same deterministic‑fallback‑and‑</w:t>
      </w:r>
      <w:r>
        <w:rPr>
          <w:rFonts w:ascii="Consolas" w:hAnsi="Consolas"/>
          <w:color w:val="8A2B2B"/>
          <w:sz w:val="19"/>
        </w:rPr>
        <w:t>llm_used</w:t>
      </w:r>
      <w:r>
        <w:t>‑flag discipline as the attribution stage.</w:t>
      </w:r>
    </w:p>
    <w:p w14:paraId="43EE60BE" w14:textId="77777777" w:rsidR="0039721F" w:rsidRDefault="00000000">
      <w:r>
        <w:rPr>
          <w:b/>
        </w:rPr>
        <w:t>Dispatch lifecycle and the brief's judged metric.</w:t>
      </w:r>
      <w:r>
        <w:t xml:space="preserve"> Every completed run is persisted to </w:t>
      </w:r>
      <w:r>
        <w:rPr>
          <w:rFonts w:ascii="Consolas" w:hAnsi="Consolas"/>
          <w:color w:val="8A2B2B"/>
          <w:sz w:val="19"/>
        </w:rPr>
        <w:t>agent_runs</w:t>
      </w:r>
      <w:r>
        <w:t xml:space="preserve"> with a status column enforcing the transition order </w:t>
      </w:r>
      <w:r>
        <w:rPr>
          <w:rFonts w:ascii="Consolas" w:hAnsi="Consolas"/>
          <w:color w:val="8A2B2B"/>
          <w:sz w:val="19"/>
        </w:rPr>
        <w:t>new → dispatched → inspected → closed</w:t>
      </w:r>
      <w:r>
        <w:t xml:space="preserve"> (attempting to skip a stage returns HTTP 409, not a silent no‑op). Each transition stamps its own timestamp, so </w:t>
      </w:r>
      <w:r>
        <w:rPr>
          <w:rFonts w:ascii="Consolas" w:hAnsi="Consolas"/>
          <w:color w:val="8A2B2B"/>
          <w:sz w:val="19"/>
        </w:rPr>
        <w:t>signal_to_dispatch_minutes</w:t>
      </w:r>
      <w:r>
        <w:t xml:space="preserve"> — the interval between the agent's alert and an administrator marking it dispatched — is a real, queryable number per run, and </w:t>
      </w:r>
      <w:r>
        <w:rPr>
          <w:rFonts w:ascii="Consolas" w:hAnsi="Consolas"/>
          <w:color w:val="8A2B2B"/>
          <w:sz w:val="19"/>
        </w:rPr>
        <w:t>GET /agents/runs</w:t>
      </w:r>
      <w:r>
        <w:t xml:space="preserve"> reports the </w:t>
      </w:r>
      <w:r>
        <w:rPr>
          <w:b/>
        </w:rPr>
        <w:t>mean signal‑to‑dispatch time across all runs</w:t>
      </w:r>
      <w:r>
        <w:t>. This is a direct, load‑bearing answer to the problem brief's evaluation focus on "demonstrated reduction in response time from signal to intervention" — the platform doesn't just claim faster response, it instruments the exact interval the brief names and exposes it as an API field and a dashboard figure.</w:t>
      </w:r>
    </w:p>
    <w:p w14:paraId="2B023C4E" w14:textId="77777777" w:rsidR="0039721F" w:rsidRDefault="00000000">
      <w:pPr>
        <w:pStyle w:val="Heading1"/>
      </w:pPr>
      <w:r>
        <w:t>22. Citizen Health Advisory System</w:t>
      </w:r>
    </w:p>
    <w:p w14:paraId="0FD049AA" w14:textId="77777777" w:rsidR="0039721F" w:rsidRDefault="00000000">
      <w:r>
        <w:rPr>
          <w:rFonts w:ascii="Consolas" w:hAnsi="Consolas"/>
          <w:color w:val="8A2B2B"/>
          <w:sz w:val="19"/>
        </w:rPr>
        <w:t>GET /advisory?lang=</w:t>
      </w:r>
      <w:r>
        <w:t xml:space="preserve"> computes the current city‑wide mean and peak PM2.5 from the live gridded snapshot, maps the mean to a CPCB band via the shared </w:t>
      </w:r>
      <w:r>
        <w:rPr>
          <w:rFonts w:ascii="Consolas" w:hAnsi="Consolas"/>
          <w:color w:val="8A2B2B"/>
          <w:sz w:val="19"/>
        </w:rPr>
        <w:t>core/aqi.py::cpcb_category</w:t>
      </w:r>
      <w:r>
        <w:t xml:space="preserve"> function (identical breakpoints — 30/60/90/120/250 µg/m³ — used by the frontend, so the label a citizen sees always matches the label an administrator sees), and generates a plain‑language, 3‑sentence advisory. </w:t>
      </w:r>
      <w:r>
        <w:rPr>
          <w:b/>
        </w:rPr>
        <w:t>Six languages are live and script‑correct, not string‑swapped:</w:t>
      </w:r>
      <w:r>
        <w:t xml:space="preserve"> English, Hindi (Devanagari), Kannada, Tamil, Bengali, and Marathi — matching the problem brief's explicit "Bengaluru in Kannada, Chennai in Tamil" ask, generalised to every registered city rather than hardcoded per city. Each language has its own hand‑written, script‑correct deterministic fallback template (not a machine translation of the English template), so the feature degrades gracefully — never garbled — when no LLM key is configured. Responses are cached per </w:t>
      </w:r>
      <w:r>
        <w:rPr>
          <w:rFonts w:ascii="Consolas" w:hAnsi="Consolas"/>
          <w:color w:val="8A2B2B"/>
          <w:sz w:val="19"/>
        </w:rPr>
        <w:t>(city, lang, latest_hour)</w:t>
      </w:r>
      <w:r>
        <w:t xml:space="preserve"> so the LLM is called once per new hour of data rather than once per page load, and a degraded (fallback‑text) response is deliberately </w:t>
      </w:r>
      <w:r>
        <w:rPr>
          <w:b/>
        </w:rPr>
        <w:t>not</w:t>
      </w:r>
      <w:r>
        <w:t xml:space="preserve"> cached, so the next real request retries the LLM rather than pinning a lower‑quality response until the next hour.</w:t>
      </w:r>
    </w:p>
    <w:p w14:paraId="44A6C39E" w14:textId="77777777" w:rsidR="0039721F" w:rsidRDefault="00000000">
      <w:pPr>
        <w:pStyle w:val="Heading1"/>
      </w:pPr>
      <w:r>
        <w:t>23. Dashboard and User Interface Design</w:t>
      </w:r>
    </w:p>
    <w:p w14:paraId="4CAB5B77" w14:textId="77777777" w:rsidR="0039721F" w:rsidRDefault="00000000">
      <w:r>
        <w:t xml:space="preserve">Next.js 14 (App Router, TypeScript, Tailwind), 8 routes sharing one </w:t>
      </w:r>
      <w:r>
        <w:rPr>
          <w:rFonts w:ascii="Consolas" w:hAnsi="Consolas"/>
          <w:color w:val="8A2B2B"/>
          <w:sz w:val="19"/>
        </w:rPr>
        <w:t>AppShell</w:t>
      </w:r>
      <w:r>
        <w:t>:</w:t>
      </w:r>
    </w:p>
    <w:tbl>
      <w:tblPr>
        <w:tblStyle w:val="TableGrid"/>
        <w:tblW w:w="0" w:type="auto"/>
        <w:jc w:val="center"/>
        <w:tblLook w:val="04A0" w:firstRow="1" w:lastRow="0" w:firstColumn="1" w:lastColumn="0" w:noHBand="0" w:noVBand="1"/>
      </w:tblPr>
      <w:tblGrid>
        <w:gridCol w:w="4824"/>
        <w:gridCol w:w="4824"/>
      </w:tblGrid>
      <w:tr w:rsidR="0039721F" w14:paraId="4565234A" w14:textId="77777777">
        <w:trPr>
          <w:jc w:val="center"/>
        </w:trPr>
        <w:tc>
          <w:tcPr>
            <w:tcW w:w="4824" w:type="dxa"/>
            <w:shd w:val="clear" w:color="auto" w:fill="E4DEFF"/>
          </w:tcPr>
          <w:p w14:paraId="64E0C09D" w14:textId="77777777" w:rsidR="0039721F" w:rsidRDefault="00000000">
            <w:pPr>
              <w:spacing w:after="40"/>
            </w:pPr>
            <w:r>
              <w:rPr>
                <w:b/>
                <w:sz w:val="18"/>
              </w:rPr>
              <w:t>Route</w:t>
            </w:r>
          </w:p>
        </w:tc>
        <w:tc>
          <w:tcPr>
            <w:tcW w:w="4824" w:type="dxa"/>
            <w:shd w:val="clear" w:color="auto" w:fill="E4DEFF"/>
          </w:tcPr>
          <w:p w14:paraId="1D4A45D1" w14:textId="77777777" w:rsidR="0039721F" w:rsidRDefault="00000000">
            <w:pPr>
              <w:spacing w:after="40"/>
            </w:pPr>
            <w:r>
              <w:rPr>
                <w:b/>
                <w:sz w:val="18"/>
              </w:rPr>
              <w:t>Purpose</w:t>
            </w:r>
          </w:p>
        </w:tc>
      </w:tr>
      <w:tr w:rsidR="0039721F" w14:paraId="2CD2067D" w14:textId="77777777">
        <w:trPr>
          <w:jc w:val="center"/>
        </w:trPr>
        <w:tc>
          <w:tcPr>
            <w:tcW w:w="4824" w:type="dxa"/>
          </w:tcPr>
          <w:p w14:paraId="5407A8D8" w14:textId="77777777" w:rsidR="0039721F" w:rsidRDefault="00000000">
            <w:pPr>
              <w:spacing w:after="40"/>
            </w:pPr>
            <w:r>
              <w:rPr>
                <w:rFonts w:ascii="Consolas" w:hAnsi="Consolas"/>
                <w:color w:val="8A2B2B"/>
                <w:sz w:val="18"/>
              </w:rPr>
              <w:t>/</w:t>
            </w:r>
          </w:p>
        </w:tc>
        <w:tc>
          <w:tcPr>
            <w:tcW w:w="4824" w:type="dxa"/>
          </w:tcPr>
          <w:p w14:paraId="44E553F0" w14:textId="77777777" w:rsidR="0039721F" w:rsidRDefault="00000000">
            <w:pPr>
              <w:spacing w:after="40"/>
            </w:pPr>
            <w:r>
              <w:rPr>
                <w:sz w:val="18"/>
              </w:rPr>
              <w:t>City overview — KPI cards, advisory widget, latest intervention</w:t>
            </w:r>
          </w:p>
        </w:tc>
      </w:tr>
      <w:tr w:rsidR="0039721F" w14:paraId="7E5A02DE" w14:textId="77777777">
        <w:trPr>
          <w:jc w:val="center"/>
        </w:trPr>
        <w:tc>
          <w:tcPr>
            <w:tcW w:w="4824" w:type="dxa"/>
          </w:tcPr>
          <w:p w14:paraId="104FBD42" w14:textId="77777777" w:rsidR="0039721F" w:rsidRDefault="00000000">
            <w:pPr>
              <w:spacing w:after="40"/>
            </w:pPr>
            <w:r>
              <w:rPr>
                <w:rFonts w:ascii="Consolas" w:hAnsi="Consolas"/>
                <w:color w:val="8A2B2B"/>
                <w:sz w:val="18"/>
              </w:rPr>
              <w:t>/map</w:t>
            </w:r>
          </w:p>
        </w:tc>
        <w:tc>
          <w:tcPr>
            <w:tcW w:w="4824" w:type="dxa"/>
          </w:tcPr>
          <w:p w14:paraId="5E1C4A44" w14:textId="77777777" w:rsidR="0039721F" w:rsidRDefault="00000000">
            <w:pPr>
              <w:spacing w:after="40"/>
            </w:pPr>
            <w:r>
              <w:rPr>
                <w:sz w:val="18"/>
              </w:rPr>
              <w:t>Leaflet heatmap of all 2,805 cells with a live‑to‑72h horizon scrubber and the enforcement route overlay</w:t>
            </w:r>
          </w:p>
        </w:tc>
      </w:tr>
      <w:tr w:rsidR="0039721F" w14:paraId="6021CEBD" w14:textId="77777777">
        <w:trPr>
          <w:jc w:val="center"/>
        </w:trPr>
        <w:tc>
          <w:tcPr>
            <w:tcW w:w="4824" w:type="dxa"/>
          </w:tcPr>
          <w:p w14:paraId="5E2CFBA1" w14:textId="77777777" w:rsidR="0039721F" w:rsidRDefault="00000000">
            <w:pPr>
              <w:spacing w:after="40"/>
            </w:pPr>
            <w:r>
              <w:rPr>
                <w:rFonts w:ascii="Consolas" w:hAnsi="Consolas"/>
                <w:color w:val="8A2B2B"/>
                <w:sz w:val="18"/>
              </w:rPr>
              <w:t>/forecast</w:t>
            </w:r>
          </w:p>
        </w:tc>
        <w:tc>
          <w:tcPr>
            <w:tcW w:w="4824" w:type="dxa"/>
          </w:tcPr>
          <w:p w14:paraId="7EBE286D" w14:textId="77777777" w:rsidR="0039721F" w:rsidRDefault="00000000">
            <w:pPr>
              <w:spacing w:after="40"/>
            </w:pPr>
            <w:r>
              <w:rPr>
                <w:sz w:val="18"/>
              </w:rPr>
              <w:t xml:space="preserve">Model‑vs‑persistence line chart (CVD‑validated palette) plus a per‑horizon table, sourced from </w:t>
            </w:r>
            <w:r>
              <w:rPr>
                <w:rFonts w:ascii="Consolas" w:hAnsi="Consolas"/>
                <w:color w:val="8A2B2B"/>
                <w:sz w:val="18"/>
              </w:rPr>
              <w:lastRenderedPageBreak/>
              <w:t>/forecast/metrics</w:t>
            </w:r>
          </w:p>
        </w:tc>
      </w:tr>
      <w:tr w:rsidR="0039721F" w14:paraId="5DB793A1" w14:textId="77777777">
        <w:trPr>
          <w:jc w:val="center"/>
        </w:trPr>
        <w:tc>
          <w:tcPr>
            <w:tcW w:w="4824" w:type="dxa"/>
          </w:tcPr>
          <w:p w14:paraId="0C050D4B" w14:textId="77777777" w:rsidR="0039721F" w:rsidRDefault="00000000">
            <w:pPr>
              <w:spacing w:after="40"/>
            </w:pPr>
            <w:r>
              <w:rPr>
                <w:rFonts w:ascii="Consolas" w:hAnsi="Consolas"/>
                <w:color w:val="8A2B2B"/>
                <w:sz w:val="18"/>
              </w:rPr>
              <w:lastRenderedPageBreak/>
              <w:t>/attribution</w:t>
            </w:r>
          </w:p>
        </w:tc>
        <w:tc>
          <w:tcPr>
            <w:tcW w:w="4824" w:type="dxa"/>
          </w:tcPr>
          <w:p w14:paraId="38DBA78D" w14:textId="77777777" w:rsidR="0039721F" w:rsidRDefault="00000000">
            <w:pPr>
              <w:spacing w:after="40"/>
            </w:pPr>
            <w:r>
              <w:rPr>
                <w:sz w:val="18"/>
              </w:rPr>
              <w:t>Attribution runs with confidence progress bars and expandable evidence</w:t>
            </w:r>
          </w:p>
        </w:tc>
      </w:tr>
      <w:tr w:rsidR="0039721F" w14:paraId="185AE809" w14:textId="77777777">
        <w:trPr>
          <w:jc w:val="center"/>
        </w:trPr>
        <w:tc>
          <w:tcPr>
            <w:tcW w:w="4824" w:type="dxa"/>
          </w:tcPr>
          <w:p w14:paraId="66A7654C" w14:textId="77777777" w:rsidR="0039721F" w:rsidRDefault="00000000">
            <w:pPr>
              <w:spacing w:after="40"/>
            </w:pPr>
            <w:r>
              <w:rPr>
                <w:rFonts w:ascii="Consolas" w:hAnsi="Consolas"/>
                <w:color w:val="8A2B2B"/>
                <w:sz w:val="18"/>
              </w:rPr>
              <w:t>/enforcement</w:t>
            </w:r>
          </w:p>
        </w:tc>
        <w:tc>
          <w:tcPr>
            <w:tcW w:w="4824" w:type="dxa"/>
          </w:tcPr>
          <w:p w14:paraId="3EE5FE55" w14:textId="77777777" w:rsidR="0039721F" w:rsidRDefault="00000000">
            <w:pPr>
              <w:spacing w:after="40"/>
            </w:pPr>
            <w:r>
              <w:rPr>
                <w:sz w:val="18"/>
              </w:rPr>
              <w:t>Drill trigger, alert→attribution→route panel, persisted run history with dispatch‑status controls</w:t>
            </w:r>
          </w:p>
        </w:tc>
      </w:tr>
      <w:tr w:rsidR="0039721F" w14:paraId="4A0E99D0" w14:textId="77777777">
        <w:trPr>
          <w:jc w:val="center"/>
        </w:trPr>
        <w:tc>
          <w:tcPr>
            <w:tcW w:w="4824" w:type="dxa"/>
          </w:tcPr>
          <w:p w14:paraId="72845CFC" w14:textId="77777777" w:rsidR="0039721F" w:rsidRDefault="00000000">
            <w:pPr>
              <w:spacing w:after="40"/>
            </w:pPr>
            <w:r>
              <w:rPr>
                <w:rFonts w:ascii="Consolas" w:hAnsi="Consolas"/>
                <w:color w:val="8A2B2B"/>
                <w:sz w:val="18"/>
              </w:rPr>
              <w:t>/advisory</w:t>
            </w:r>
          </w:p>
        </w:tc>
        <w:tc>
          <w:tcPr>
            <w:tcW w:w="4824" w:type="dxa"/>
          </w:tcPr>
          <w:p w14:paraId="5AF026D5" w14:textId="77777777" w:rsidR="0039721F" w:rsidRDefault="00000000">
            <w:pPr>
              <w:spacing w:after="40"/>
            </w:pPr>
            <w:r>
              <w:rPr>
                <w:sz w:val="18"/>
              </w:rPr>
              <w:t>Language switcher across all six languages, CPCB band reference</w:t>
            </w:r>
          </w:p>
        </w:tc>
      </w:tr>
      <w:tr w:rsidR="0039721F" w14:paraId="44DD6D8A" w14:textId="77777777">
        <w:trPr>
          <w:jc w:val="center"/>
        </w:trPr>
        <w:tc>
          <w:tcPr>
            <w:tcW w:w="4824" w:type="dxa"/>
          </w:tcPr>
          <w:p w14:paraId="2D2F91A3" w14:textId="77777777" w:rsidR="0039721F" w:rsidRDefault="00000000">
            <w:pPr>
              <w:spacing w:after="40"/>
            </w:pPr>
            <w:r>
              <w:rPr>
                <w:rFonts w:ascii="Consolas" w:hAnsi="Consolas"/>
                <w:color w:val="8A2B2B"/>
                <w:sz w:val="18"/>
              </w:rPr>
              <w:t>/cities</w:t>
            </w:r>
          </w:p>
        </w:tc>
        <w:tc>
          <w:tcPr>
            <w:tcW w:w="4824" w:type="dxa"/>
          </w:tcPr>
          <w:p w14:paraId="14F2E239" w14:textId="77777777" w:rsidR="0039721F" w:rsidRDefault="00000000">
            <w:pPr>
              <w:spacing w:after="40"/>
            </w:pPr>
            <w:r>
              <w:rPr>
                <w:sz w:val="18"/>
              </w:rPr>
              <w:t>Multi‑city comparison — Delhi NCR live, further cities as onboarding proceeds</w:t>
            </w:r>
          </w:p>
        </w:tc>
      </w:tr>
      <w:tr w:rsidR="0039721F" w14:paraId="2A16F675" w14:textId="77777777">
        <w:trPr>
          <w:jc w:val="center"/>
        </w:trPr>
        <w:tc>
          <w:tcPr>
            <w:tcW w:w="4824" w:type="dxa"/>
          </w:tcPr>
          <w:p w14:paraId="7DC00FE2" w14:textId="77777777" w:rsidR="0039721F" w:rsidRDefault="00000000">
            <w:pPr>
              <w:spacing w:after="40"/>
            </w:pPr>
            <w:r>
              <w:rPr>
                <w:rFonts w:ascii="Consolas" w:hAnsi="Consolas"/>
                <w:color w:val="8A2B2B"/>
                <w:sz w:val="18"/>
              </w:rPr>
              <w:t>/data</w:t>
            </w:r>
          </w:p>
        </w:tc>
        <w:tc>
          <w:tcPr>
            <w:tcW w:w="4824" w:type="dxa"/>
          </w:tcPr>
          <w:p w14:paraId="4C2E5F9D" w14:textId="77777777" w:rsidR="0039721F" w:rsidRDefault="00000000">
            <w:pPr>
              <w:spacing w:after="40"/>
            </w:pPr>
            <w:r>
              <w:rPr>
                <w:sz w:val="18"/>
              </w:rPr>
              <w:t>Source table, ingestion health summary, grid stats, pipeline status</w:t>
            </w:r>
          </w:p>
        </w:tc>
      </w:tr>
    </w:tbl>
    <w:p w14:paraId="4DF9B9F9" w14:textId="77777777" w:rsidR="0039721F" w:rsidRDefault="0039721F">
      <w:pPr>
        <w:spacing w:after="80"/>
      </w:pPr>
    </w:p>
    <w:p w14:paraId="00606CA3" w14:textId="77777777" w:rsidR="0039721F" w:rsidRDefault="00000000">
      <w:r>
        <w:t xml:space="preserve">The interface was built on </w:t>
      </w:r>
      <w:r>
        <w:rPr>
          <w:b/>
        </w:rPr>
        <w:t>UX4G</w:t>
      </w:r>
      <w:r>
        <w:t xml:space="preserve"> (NeGD/MeitY, India's official government design system, via </w:t>
      </w:r>
      <w:r>
        <w:rPr>
          <w:rFonts w:ascii="Consolas" w:hAnsi="Consolas"/>
          <w:color w:val="8A2B2B"/>
          <w:sz w:val="19"/>
        </w:rPr>
        <w:t>ux4g-web-components</w:t>
      </w:r>
      <w:r>
        <w:t xml:space="preserve">) — </w:t>
      </w:r>
      <w:r>
        <w:rPr>
          <w:rFonts w:ascii="Consolas" w:hAnsi="Consolas"/>
          <w:color w:val="8A2B2B"/>
          <w:sz w:val="19"/>
        </w:rPr>
        <w:t>.ux4g-card</w:t>
      </w:r>
      <w:r>
        <w:t xml:space="preserve">, </w:t>
      </w:r>
      <w:r>
        <w:rPr>
          <w:rFonts w:ascii="Consolas" w:hAnsi="Consolas"/>
          <w:color w:val="8A2B2B"/>
          <w:sz w:val="19"/>
        </w:rPr>
        <w:t>.ux4g-btn</w:t>
      </w:r>
      <w:r>
        <w:t xml:space="preserve">, </w:t>
      </w:r>
      <w:r>
        <w:rPr>
          <w:rFonts w:ascii="Consolas" w:hAnsi="Consolas"/>
          <w:color w:val="8A2B2B"/>
          <w:sz w:val="19"/>
        </w:rPr>
        <w:t>.ux4g-alert</w:t>
      </w:r>
      <w:r>
        <w:t xml:space="preserve">, </w:t>
      </w:r>
      <w:r>
        <w:rPr>
          <w:rFonts w:ascii="Consolas" w:hAnsi="Consolas"/>
          <w:color w:val="8A2B2B"/>
          <w:sz w:val="19"/>
        </w:rPr>
        <w:t>.ux4g-table</w:t>
      </w:r>
      <w:r>
        <w:t xml:space="preserve">, </w:t>
      </w:r>
      <w:r>
        <w:rPr>
          <w:rFonts w:ascii="Consolas" w:hAnsi="Consolas"/>
          <w:color w:val="8A2B2B"/>
          <w:sz w:val="19"/>
        </w:rPr>
        <w:t>.ux4g-breadcrumb</w:t>
      </w:r>
      <w:r>
        <w:t xml:space="preserve">, </w:t>
      </w:r>
      <w:r>
        <w:rPr>
          <w:rFonts w:ascii="Consolas" w:hAnsi="Consolas"/>
          <w:color w:val="8A2B2B"/>
          <w:sz w:val="19"/>
        </w:rPr>
        <w:t>.ux4g-progress-bar</w:t>
      </w:r>
      <w:r>
        <w:t xml:space="preserve"> are used throughout, with the UX4G indigo/saffron token ramps mapped into Tailwind (</w:t>
      </w:r>
      <w:r>
        <w:rPr>
          <w:rFonts w:ascii="Consolas" w:hAnsi="Consolas"/>
          <w:color w:val="8A2B2B"/>
          <w:sz w:val="19"/>
        </w:rPr>
        <w:t>gov-*</w:t>
      </w:r>
      <w:r>
        <w:t>/</w:t>
      </w:r>
      <w:r>
        <w:rPr>
          <w:rFonts w:ascii="Consolas" w:hAnsi="Consolas"/>
          <w:color w:val="8A2B2B"/>
          <w:sz w:val="19"/>
        </w:rPr>
        <w:t>saffron-*</w:t>
      </w:r>
      <w:r>
        <w:t xml:space="preserve">). The most recent iteration (branch </w:t>
      </w:r>
      <w:r>
        <w:rPr>
          <w:rFonts w:ascii="Consolas" w:hAnsi="Consolas"/>
          <w:color w:val="8A2B2B"/>
          <w:sz w:val="19"/>
        </w:rPr>
        <w:t>frontend/futuristic-redesign</w:t>
      </w:r>
      <w:r>
        <w:t xml:space="preserve">) re‑skins the same eight pages into a dark, "futuristic" aesthetic — ambient aurora‑glow backgrounds, glass‑morphism cards with a cursor‑reactive spotlight, gradient headline text, and </w:t>
      </w:r>
      <w:r>
        <w:rPr>
          <w:rFonts w:ascii="Consolas" w:hAnsi="Consolas"/>
          <w:color w:val="8A2B2B"/>
          <w:sz w:val="19"/>
        </w:rPr>
        <w:t>framer-motion</w:t>
      </w:r>
      <w:r>
        <w:t xml:space="preserve"> route transitions and staggered reveals — while keeping the underlying UX4G colour tokens, all eight routes, and every accessibility affordance unchanged. Accessibility is not an afterthought layered on top: skip‑to‑content link, </w:t>
      </w:r>
      <w:r>
        <w:rPr>
          <w:rFonts w:ascii="Consolas" w:hAnsi="Consolas"/>
          <w:color w:val="8A2B2B"/>
          <w:sz w:val="19"/>
        </w:rPr>
        <w:t>aria-current="page"</w:t>
      </w:r>
      <w:r>
        <w:t xml:space="preserve"> navigation, </w:t>
      </w:r>
      <w:r>
        <w:rPr>
          <w:rFonts w:ascii="Consolas" w:hAnsi="Consolas"/>
          <w:color w:val="8A2B2B"/>
          <w:sz w:val="19"/>
        </w:rPr>
        <w:t>role="radiogroup"</w:t>
      </w:r>
      <w:r>
        <w:t>/</w:t>
      </w:r>
      <w:r>
        <w:rPr>
          <w:rFonts w:ascii="Consolas" w:hAnsi="Consolas"/>
          <w:color w:val="8A2B2B"/>
          <w:sz w:val="19"/>
        </w:rPr>
        <w:t>aria-checked</w:t>
      </w:r>
      <w:r>
        <w:t xml:space="preserve"> toggle groups, an </w:t>
      </w:r>
      <w:r>
        <w:rPr>
          <w:rFonts w:ascii="Consolas" w:hAnsi="Consolas"/>
          <w:color w:val="8A2B2B"/>
          <w:sz w:val="19"/>
        </w:rPr>
        <w:t>aria-live="polite"</w:t>
      </w:r>
      <w:r>
        <w:t xml:space="preserve"> region echoing map‑cell selection (since the map canvas itself is not screen‑reader‑navigable — the </w:t>
      </w:r>
      <w:r>
        <w:rPr>
          <w:rFonts w:ascii="Consolas" w:hAnsi="Consolas"/>
          <w:color w:val="8A2B2B"/>
          <w:sz w:val="19"/>
        </w:rPr>
        <w:t>/forecast</w:t>
      </w:r>
      <w:r>
        <w:t xml:space="preserve"> data tables are the documented accessible equivalent), </w:t>
      </w:r>
      <w:r>
        <w:rPr>
          <w:rFonts w:ascii="Consolas" w:hAnsi="Consolas"/>
          <w:color w:val="8A2B2B"/>
          <w:sz w:val="19"/>
        </w:rPr>
        <w:t>lang</w:t>
      </w:r>
      <w:r>
        <w:t xml:space="preserve"> attributes on translated advisory text for correct screen‑reader pronunciation, and full </w:t>
      </w:r>
      <w:r>
        <w:rPr>
          <w:rFonts w:ascii="Consolas" w:hAnsi="Consolas"/>
          <w:color w:val="8A2B2B"/>
          <w:sz w:val="19"/>
        </w:rPr>
        <w:t>prefers-reduced-motion</w:t>
      </w:r>
      <w:r>
        <w:t xml:space="preserve"> compliance across the motion layer.</w:t>
      </w:r>
    </w:p>
    <w:p w14:paraId="0E346144" w14:textId="77777777" w:rsidR="0039721F" w:rsidRDefault="00000000">
      <w:r>
        <w:t>An app‑wide banner (</w:t>
      </w:r>
      <w:r>
        <w:rPr>
          <w:rFonts w:ascii="Consolas" w:hAnsi="Consolas"/>
          <w:color w:val="8A2B2B"/>
          <w:sz w:val="19"/>
        </w:rPr>
        <w:t>ApiOfflineBanner</w:t>
      </w:r>
      <w:r>
        <w:t>) appears whenever the backend health check fails, naming the exact command to start it — a small but deliberate UX choice for a judge or teammate running the demo locally.</w:t>
      </w:r>
    </w:p>
    <w:p w14:paraId="0A841C17" w14:textId="77777777" w:rsidR="0039721F" w:rsidRDefault="00000000">
      <w:pPr>
        <w:pStyle w:val="Heading1"/>
      </w:pPr>
      <w:r>
        <w:t>24. Database Design</w:t>
      </w:r>
    </w:p>
    <w:p w14:paraId="09364A8C" w14:textId="77777777" w:rsidR="0039721F" w:rsidRDefault="00000000">
      <w:r>
        <w:t>PostGIS 16‑3.4 (Docker, host port 5433 — deliberately non‑default to avoid a native PostgreSQL‑without‑PostGIS on 5432 silently shadowing the container) plus Redis. Core tables:</w:t>
      </w:r>
    </w:p>
    <w:tbl>
      <w:tblPr>
        <w:tblStyle w:val="TableGrid"/>
        <w:tblW w:w="0" w:type="auto"/>
        <w:jc w:val="center"/>
        <w:tblLook w:val="04A0" w:firstRow="1" w:lastRow="0" w:firstColumn="1" w:lastColumn="0" w:noHBand="0" w:noVBand="1"/>
      </w:tblPr>
      <w:tblGrid>
        <w:gridCol w:w="3216"/>
        <w:gridCol w:w="3216"/>
        <w:gridCol w:w="3216"/>
      </w:tblGrid>
      <w:tr w:rsidR="0039721F" w14:paraId="592016FA" w14:textId="77777777">
        <w:trPr>
          <w:jc w:val="center"/>
        </w:trPr>
        <w:tc>
          <w:tcPr>
            <w:tcW w:w="3216" w:type="dxa"/>
            <w:shd w:val="clear" w:color="auto" w:fill="E4DEFF"/>
          </w:tcPr>
          <w:p w14:paraId="02D69EA2" w14:textId="77777777" w:rsidR="0039721F" w:rsidRDefault="00000000">
            <w:pPr>
              <w:spacing w:after="40"/>
            </w:pPr>
            <w:r>
              <w:rPr>
                <w:b/>
                <w:sz w:val="18"/>
              </w:rPr>
              <w:t>Table</w:t>
            </w:r>
          </w:p>
        </w:tc>
        <w:tc>
          <w:tcPr>
            <w:tcW w:w="3216" w:type="dxa"/>
            <w:shd w:val="clear" w:color="auto" w:fill="E4DEFF"/>
          </w:tcPr>
          <w:p w14:paraId="7E90543E" w14:textId="77777777" w:rsidR="0039721F" w:rsidRDefault="00000000">
            <w:pPr>
              <w:spacing w:after="40"/>
            </w:pPr>
            <w:r>
              <w:rPr>
                <w:b/>
                <w:sz w:val="18"/>
              </w:rPr>
              <w:t>Key columns</w:t>
            </w:r>
          </w:p>
        </w:tc>
        <w:tc>
          <w:tcPr>
            <w:tcW w:w="3216" w:type="dxa"/>
            <w:shd w:val="clear" w:color="auto" w:fill="E4DEFF"/>
          </w:tcPr>
          <w:p w14:paraId="01FCC50C" w14:textId="77777777" w:rsidR="0039721F" w:rsidRDefault="00000000">
            <w:pPr>
              <w:spacing w:after="40"/>
            </w:pPr>
            <w:r>
              <w:rPr>
                <w:b/>
                <w:sz w:val="18"/>
              </w:rPr>
              <w:t>Purpose</w:t>
            </w:r>
          </w:p>
        </w:tc>
      </w:tr>
      <w:tr w:rsidR="0039721F" w14:paraId="3DFE201A" w14:textId="77777777">
        <w:trPr>
          <w:jc w:val="center"/>
        </w:trPr>
        <w:tc>
          <w:tcPr>
            <w:tcW w:w="3216" w:type="dxa"/>
          </w:tcPr>
          <w:p w14:paraId="3F1E68D0" w14:textId="77777777" w:rsidR="0039721F" w:rsidRDefault="00000000">
            <w:pPr>
              <w:spacing w:after="40"/>
            </w:pPr>
            <w:r>
              <w:rPr>
                <w:rFonts w:ascii="Consolas" w:hAnsi="Consolas"/>
                <w:color w:val="8A2B2B"/>
                <w:sz w:val="18"/>
              </w:rPr>
              <w:t>caaqms_readings</w:t>
            </w:r>
            <w:r>
              <w:rPr>
                <w:sz w:val="18"/>
              </w:rPr>
              <w:t xml:space="preserve">, </w:t>
            </w:r>
            <w:r>
              <w:rPr>
                <w:rFonts w:ascii="Consolas" w:hAnsi="Consolas"/>
                <w:color w:val="8A2B2B"/>
                <w:sz w:val="18"/>
              </w:rPr>
              <w:t>fire_detections</w:t>
            </w:r>
            <w:r>
              <w:rPr>
                <w:sz w:val="18"/>
              </w:rPr>
              <w:t xml:space="preserve">, </w:t>
            </w:r>
            <w:r>
              <w:rPr>
                <w:rFonts w:ascii="Consolas" w:hAnsi="Consolas"/>
                <w:color w:val="8A2B2B"/>
                <w:sz w:val="18"/>
              </w:rPr>
              <w:t>meteo_readings</w:t>
            </w:r>
            <w:r>
              <w:rPr>
                <w:sz w:val="18"/>
              </w:rPr>
              <w:t xml:space="preserve">, </w:t>
            </w:r>
            <w:r>
              <w:rPr>
                <w:rFonts w:ascii="Consolas" w:hAnsi="Consolas"/>
                <w:color w:val="8A2B2B"/>
                <w:sz w:val="18"/>
              </w:rPr>
              <w:t>osm_land_use_features</w:t>
            </w:r>
            <w:r>
              <w:rPr>
                <w:sz w:val="18"/>
              </w:rPr>
              <w:t xml:space="preserve">, </w:t>
            </w:r>
            <w:r>
              <w:rPr>
                <w:rFonts w:ascii="Consolas" w:hAnsi="Consolas"/>
                <w:color w:val="8A2B2B"/>
                <w:sz w:val="18"/>
              </w:rPr>
              <w:t>sentinel5p_products</w:t>
            </w:r>
          </w:p>
        </w:tc>
        <w:tc>
          <w:tcPr>
            <w:tcW w:w="3216" w:type="dxa"/>
          </w:tcPr>
          <w:p w14:paraId="0CA7C4F0" w14:textId="77777777" w:rsidR="0039721F" w:rsidRDefault="00000000">
            <w:pPr>
              <w:spacing w:after="40"/>
            </w:pPr>
            <w:r>
              <w:rPr>
                <w:sz w:val="18"/>
              </w:rPr>
              <w:t>plain lat/lon, city_slug, measured_at/acq_date</w:t>
            </w:r>
          </w:p>
        </w:tc>
        <w:tc>
          <w:tcPr>
            <w:tcW w:w="3216" w:type="dxa"/>
          </w:tcPr>
          <w:p w14:paraId="1B3AE8B5" w14:textId="77777777" w:rsidR="0039721F" w:rsidRDefault="00000000">
            <w:pPr>
              <w:spacing w:after="40"/>
            </w:pPr>
            <w:r>
              <w:rPr>
                <w:sz w:val="18"/>
              </w:rPr>
              <w:t>Raw per‑source ingestion landing zone; PostGIS geometry deliberately does *not* enter here — only where the grid needs it</w:t>
            </w:r>
          </w:p>
        </w:tc>
      </w:tr>
      <w:tr w:rsidR="0039721F" w14:paraId="3573F5DA" w14:textId="77777777">
        <w:trPr>
          <w:jc w:val="center"/>
        </w:trPr>
        <w:tc>
          <w:tcPr>
            <w:tcW w:w="3216" w:type="dxa"/>
          </w:tcPr>
          <w:p w14:paraId="59224FB3" w14:textId="77777777" w:rsidR="0039721F" w:rsidRDefault="00000000">
            <w:pPr>
              <w:spacing w:after="40"/>
            </w:pPr>
            <w:r>
              <w:rPr>
                <w:rFonts w:ascii="Consolas" w:hAnsi="Consolas"/>
                <w:color w:val="8A2B2B"/>
                <w:sz w:val="18"/>
              </w:rPr>
              <w:t>ingestion_run_log</w:t>
            </w:r>
          </w:p>
        </w:tc>
        <w:tc>
          <w:tcPr>
            <w:tcW w:w="3216" w:type="dxa"/>
          </w:tcPr>
          <w:p w14:paraId="14586018" w14:textId="77777777" w:rsidR="0039721F" w:rsidRDefault="00000000">
            <w:pPr>
              <w:spacing w:after="40"/>
            </w:pPr>
            <w:r>
              <w:rPr>
                <w:sz w:val="18"/>
              </w:rPr>
              <w:t>source, city_slug, status, records_ingested, error</w:t>
            </w:r>
          </w:p>
        </w:tc>
        <w:tc>
          <w:tcPr>
            <w:tcW w:w="3216" w:type="dxa"/>
          </w:tcPr>
          <w:p w14:paraId="1D6B38EF" w14:textId="77777777" w:rsidR="0039721F" w:rsidRDefault="00000000">
            <w:pPr>
              <w:spacing w:after="40"/>
            </w:pPr>
            <w:r>
              <w:rPr>
                <w:sz w:val="18"/>
              </w:rPr>
              <w:t xml:space="preserve">Per‑run history backing </w:t>
            </w:r>
            <w:r>
              <w:rPr>
                <w:rFonts w:ascii="Consolas" w:hAnsi="Consolas"/>
                <w:color w:val="8A2B2B"/>
                <w:sz w:val="18"/>
              </w:rPr>
              <w:t>/ingestion/status</w:t>
            </w:r>
            <w:r>
              <w:rPr>
                <w:sz w:val="18"/>
              </w:rPr>
              <w:t xml:space="preserve"> and </w:t>
            </w:r>
            <w:r>
              <w:rPr>
                <w:rFonts w:ascii="Consolas" w:hAnsi="Consolas"/>
                <w:color w:val="8A2B2B"/>
                <w:sz w:val="18"/>
              </w:rPr>
              <w:t>/ingestion/summary</w:t>
            </w:r>
          </w:p>
        </w:tc>
      </w:tr>
      <w:tr w:rsidR="0039721F" w14:paraId="1DED0564" w14:textId="77777777">
        <w:trPr>
          <w:jc w:val="center"/>
        </w:trPr>
        <w:tc>
          <w:tcPr>
            <w:tcW w:w="3216" w:type="dxa"/>
          </w:tcPr>
          <w:p w14:paraId="3CAB7B8B" w14:textId="77777777" w:rsidR="0039721F" w:rsidRDefault="00000000">
            <w:pPr>
              <w:spacing w:after="40"/>
            </w:pPr>
            <w:r>
              <w:rPr>
                <w:rFonts w:ascii="Consolas" w:hAnsi="Consolas"/>
                <w:color w:val="8A2B2B"/>
                <w:sz w:val="18"/>
              </w:rPr>
              <w:t>grid_cells</w:t>
            </w:r>
          </w:p>
        </w:tc>
        <w:tc>
          <w:tcPr>
            <w:tcW w:w="3216" w:type="dxa"/>
          </w:tcPr>
          <w:p w14:paraId="19AF6B0D" w14:textId="77777777" w:rsidR="0039721F" w:rsidRDefault="00000000">
            <w:pPr>
              <w:spacing w:after="40"/>
            </w:pPr>
            <w:r>
              <w:rPr>
                <w:rFonts w:ascii="Consolas" w:hAnsi="Consolas"/>
                <w:color w:val="8A2B2B"/>
                <w:sz w:val="18"/>
              </w:rPr>
              <w:t>grid_id</w:t>
            </w:r>
            <w:r>
              <w:rPr>
                <w:sz w:val="18"/>
              </w:rPr>
              <w:t xml:space="preserve"> (PK), city_slug, row_idx, col_idx, centroid_lat/lon, </w:t>
            </w:r>
            <w:r>
              <w:rPr>
                <w:rFonts w:ascii="Consolas" w:hAnsi="Consolas"/>
                <w:color w:val="8A2B2B"/>
                <w:sz w:val="18"/>
              </w:rPr>
              <w:t>geom POLYGON SRID 4326</w:t>
            </w:r>
            <w:r>
              <w:rPr>
                <w:sz w:val="18"/>
              </w:rPr>
              <w:t>, unique on (city_slug, row_idx, col_idx)</w:t>
            </w:r>
          </w:p>
        </w:tc>
        <w:tc>
          <w:tcPr>
            <w:tcW w:w="3216" w:type="dxa"/>
          </w:tcPr>
          <w:p w14:paraId="79AA863F" w14:textId="77777777" w:rsidR="0039721F" w:rsidRDefault="00000000">
            <w:pPr>
              <w:spacing w:after="40"/>
            </w:pPr>
            <w:r>
              <w:rPr>
                <w:sz w:val="18"/>
              </w:rPr>
              <w:t xml:space="preserve">The shared 1&amp;nbsp;km spatial index every other table addresses by </w:t>
            </w:r>
            <w:r>
              <w:rPr>
                <w:rFonts w:ascii="Consolas" w:hAnsi="Consolas"/>
                <w:color w:val="8A2B2B"/>
                <w:sz w:val="18"/>
              </w:rPr>
              <w:t>grid_id</w:t>
            </w:r>
          </w:p>
        </w:tc>
      </w:tr>
      <w:tr w:rsidR="0039721F" w14:paraId="2B4C61E9" w14:textId="77777777">
        <w:trPr>
          <w:jc w:val="center"/>
        </w:trPr>
        <w:tc>
          <w:tcPr>
            <w:tcW w:w="3216" w:type="dxa"/>
          </w:tcPr>
          <w:p w14:paraId="28F49363" w14:textId="77777777" w:rsidR="0039721F" w:rsidRDefault="00000000">
            <w:pPr>
              <w:spacing w:after="40"/>
            </w:pPr>
            <w:r>
              <w:rPr>
                <w:rFonts w:ascii="Consolas" w:hAnsi="Consolas"/>
                <w:color w:val="8A2B2B"/>
                <w:sz w:val="18"/>
              </w:rPr>
              <w:t>grid_readings</w:t>
            </w:r>
          </w:p>
        </w:tc>
        <w:tc>
          <w:tcPr>
            <w:tcW w:w="3216" w:type="dxa"/>
          </w:tcPr>
          <w:p w14:paraId="49C7106F" w14:textId="77777777" w:rsidR="0039721F" w:rsidRDefault="00000000">
            <w:pPr>
              <w:spacing w:after="40"/>
            </w:pPr>
            <w:r>
              <w:rPr>
                <w:sz w:val="18"/>
              </w:rPr>
              <w:t>grid_id, parameter, value, measured_at, interpolation_method, contributing_sensor_count, unique on (grid_id, parameter, measured_at)</w:t>
            </w:r>
          </w:p>
        </w:tc>
        <w:tc>
          <w:tcPr>
            <w:tcW w:w="3216" w:type="dxa"/>
          </w:tcPr>
          <w:p w14:paraId="74CE597F" w14:textId="77777777" w:rsidR="0039721F" w:rsidRDefault="00000000">
            <w:pPr>
              <w:spacing w:after="40"/>
            </w:pPr>
            <w:r>
              <w:rPr>
                <w:sz w:val="18"/>
              </w:rPr>
              <w:t>Hourly IDW‑interpolated pollutant state per cell</w:t>
            </w:r>
          </w:p>
        </w:tc>
      </w:tr>
      <w:tr w:rsidR="0039721F" w14:paraId="45EDD53C" w14:textId="77777777">
        <w:trPr>
          <w:jc w:val="center"/>
        </w:trPr>
        <w:tc>
          <w:tcPr>
            <w:tcW w:w="3216" w:type="dxa"/>
          </w:tcPr>
          <w:p w14:paraId="2C54FC64" w14:textId="77777777" w:rsidR="0039721F" w:rsidRDefault="00000000">
            <w:pPr>
              <w:spacing w:after="40"/>
            </w:pPr>
            <w:r>
              <w:rPr>
                <w:rFonts w:ascii="Consolas" w:hAnsi="Consolas"/>
                <w:color w:val="8A2B2B"/>
                <w:sz w:val="18"/>
              </w:rPr>
              <w:lastRenderedPageBreak/>
              <w:t>feature_cube_manifest</w:t>
            </w:r>
          </w:p>
        </w:tc>
        <w:tc>
          <w:tcPr>
            <w:tcW w:w="3216" w:type="dxa"/>
          </w:tcPr>
          <w:p w14:paraId="53634C83" w14:textId="77777777" w:rsidR="0039721F" w:rsidRDefault="00000000">
            <w:pPr>
              <w:spacing w:after="40"/>
            </w:pPr>
            <w:r>
              <w:rPr>
                <w:sz w:val="18"/>
              </w:rPr>
              <w:t>city_slug, timestep, channels, storage_path, n_rows, n_cols, unique on (city_slug, timestep)</w:t>
            </w:r>
          </w:p>
        </w:tc>
        <w:tc>
          <w:tcPr>
            <w:tcW w:w="3216" w:type="dxa"/>
          </w:tcPr>
          <w:p w14:paraId="237B22AC" w14:textId="77777777" w:rsidR="0039721F" w:rsidRDefault="00000000">
            <w:pPr>
              <w:spacing w:after="40"/>
            </w:pPr>
            <w:r>
              <w:rPr>
                <w:sz w:val="18"/>
              </w:rPr>
              <w:t xml:space="preserve">Points at the </w:t>
            </w:r>
            <w:r>
              <w:rPr>
                <w:rFonts w:ascii="Consolas" w:hAnsi="Consolas"/>
                <w:color w:val="8A2B2B"/>
                <w:sz w:val="18"/>
              </w:rPr>
              <w:t>.npy</w:t>
            </w:r>
            <w:r>
              <w:rPr>
                <w:sz w:val="18"/>
              </w:rPr>
              <w:t xml:space="preserve"> tensor file on disk for each hour — tensors themselves live outside Postgres</w:t>
            </w:r>
          </w:p>
        </w:tc>
      </w:tr>
      <w:tr w:rsidR="0039721F" w14:paraId="6234A1CE" w14:textId="77777777">
        <w:trPr>
          <w:jc w:val="center"/>
        </w:trPr>
        <w:tc>
          <w:tcPr>
            <w:tcW w:w="3216" w:type="dxa"/>
          </w:tcPr>
          <w:p w14:paraId="501A33D7" w14:textId="77777777" w:rsidR="0039721F" w:rsidRDefault="00000000">
            <w:pPr>
              <w:spacing w:after="40"/>
            </w:pPr>
            <w:r>
              <w:rPr>
                <w:rFonts w:ascii="Consolas" w:hAnsi="Consolas"/>
                <w:color w:val="8A2B2B"/>
                <w:sz w:val="18"/>
              </w:rPr>
              <w:t>agent_runs</w:t>
            </w:r>
          </w:p>
        </w:tc>
        <w:tc>
          <w:tcPr>
            <w:tcW w:w="3216" w:type="dxa"/>
          </w:tcPr>
          <w:p w14:paraId="18439F2B" w14:textId="77777777" w:rsidR="0039721F" w:rsidRDefault="00000000">
            <w:pPr>
              <w:spacing w:after="40"/>
            </w:pPr>
            <w:r>
              <w:rPr>
                <w:sz w:val="18"/>
              </w:rPr>
              <w:t>id, city_slug, payload (JSON), completed_at, status, assigned_to, dispatched_at, inspected_at, closed_at</w:t>
            </w:r>
          </w:p>
        </w:tc>
        <w:tc>
          <w:tcPr>
            <w:tcW w:w="3216" w:type="dxa"/>
          </w:tcPr>
          <w:p w14:paraId="753DE2D9" w14:textId="77777777" w:rsidR="0039721F" w:rsidRDefault="00000000">
            <w:pPr>
              <w:spacing w:after="40"/>
            </w:pPr>
            <w:r>
              <w:rPr>
                <w:sz w:val="18"/>
              </w:rPr>
              <w:t>Persisted agent‑pipeline output plus the dispatch lifecycle described in Section 21</w:t>
            </w:r>
          </w:p>
        </w:tc>
      </w:tr>
    </w:tbl>
    <w:p w14:paraId="18304929" w14:textId="77777777" w:rsidR="0039721F" w:rsidRDefault="0039721F">
      <w:pPr>
        <w:spacing w:after="80"/>
      </w:pPr>
    </w:p>
    <w:p w14:paraId="0F735DE6" w14:textId="77777777" w:rsidR="0039721F" w:rsidRDefault="00000000">
      <w:r>
        <w:t xml:space="preserve">Design rationale: multi‑megabyte tensors do not belong in relational rows, so cubes are </w:t>
      </w:r>
      <w:r>
        <w:rPr>
          <w:rFonts w:ascii="Consolas" w:hAnsi="Consolas"/>
          <w:color w:val="8A2B2B"/>
          <w:sz w:val="19"/>
        </w:rPr>
        <w:t>.npy</w:t>
      </w:r>
      <w:r>
        <w:t xml:space="preserve"> files with a manifest row pointing at them (path stored relative to a </w:t>
      </w:r>
      <w:r>
        <w:rPr>
          <w:rFonts w:ascii="Consolas" w:hAnsi="Consolas"/>
          <w:color w:val="8A2B2B"/>
          <w:sz w:val="19"/>
        </w:rPr>
        <w:t>data/cubes/</w:t>
      </w:r>
      <w:r>
        <w:t xml:space="preserve"> root, so a database dump restores cleanly on a teammate's machine regardless of checkout location). Everything above the raw‑reading layer is indexed by </w:t>
      </w:r>
      <w:r>
        <w:rPr>
          <w:rFonts w:ascii="Consolas" w:hAnsi="Consolas"/>
          <w:color w:val="8A2B2B"/>
          <w:sz w:val="19"/>
        </w:rPr>
        <w:t>city_slug</w:t>
      </w:r>
      <w:r>
        <w:t>, which is the entire mechanism that makes multi‑city support additive rather than a schema migration.</w:t>
      </w:r>
    </w:p>
    <w:p w14:paraId="57E5F647" w14:textId="77777777" w:rsidR="0039721F" w:rsidRDefault="00000000">
      <w:pPr>
        <w:pStyle w:val="Heading1"/>
      </w:pPr>
      <w:r>
        <w:t>25. API Design and Integration</w:t>
      </w:r>
    </w:p>
    <w:p w14:paraId="2C25E4B3" w14:textId="77777777" w:rsidR="0039721F" w:rsidRDefault="00000000">
      <w:r>
        <w:t xml:space="preserve">RESTful, FastAPI‑generated OpenAPI docs at </w:t>
      </w:r>
      <w:r>
        <w:rPr>
          <w:rFonts w:ascii="Consolas" w:hAnsi="Consolas"/>
          <w:color w:val="8A2B2B"/>
          <w:sz w:val="19"/>
        </w:rPr>
        <w:t>/docs</w:t>
      </w:r>
      <w:r>
        <w:t xml:space="preserve">. Representative surface (full list also maintained in </w:t>
      </w:r>
      <w:r>
        <w:rPr>
          <w:rFonts w:ascii="Consolas" w:hAnsi="Consolas"/>
          <w:color w:val="8A2B2B"/>
          <w:sz w:val="19"/>
        </w:rPr>
        <w:t>SITEMAP.md</w:t>
      </w:r>
      <w:r>
        <w:t>):</w:t>
      </w:r>
    </w:p>
    <w:tbl>
      <w:tblPr>
        <w:tblStyle w:val="TableGrid"/>
        <w:tblW w:w="0" w:type="auto"/>
        <w:jc w:val="center"/>
        <w:tblLook w:val="04A0" w:firstRow="1" w:lastRow="0" w:firstColumn="1" w:lastColumn="0" w:noHBand="0" w:noVBand="1"/>
      </w:tblPr>
      <w:tblGrid>
        <w:gridCol w:w="5165"/>
        <w:gridCol w:w="4699"/>
      </w:tblGrid>
      <w:tr w:rsidR="0039721F" w14:paraId="7418FE4C" w14:textId="77777777">
        <w:trPr>
          <w:jc w:val="center"/>
        </w:trPr>
        <w:tc>
          <w:tcPr>
            <w:tcW w:w="4824" w:type="dxa"/>
            <w:shd w:val="clear" w:color="auto" w:fill="E4DEFF"/>
          </w:tcPr>
          <w:p w14:paraId="44C377E0" w14:textId="77777777" w:rsidR="0039721F" w:rsidRDefault="00000000">
            <w:pPr>
              <w:spacing w:after="40"/>
            </w:pPr>
            <w:r>
              <w:rPr>
                <w:b/>
                <w:sz w:val="18"/>
              </w:rPr>
              <w:t>Method &amp; path</w:t>
            </w:r>
          </w:p>
        </w:tc>
        <w:tc>
          <w:tcPr>
            <w:tcW w:w="4824" w:type="dxa"/>
            <w:shd w:val="clear" w:color="auto" w:fill="E4DEFF"/>
          </w:tcPr>
          <w:p w14:paraId="19DAA5D8" w14:textId="77777777" w:rsidR="0039721F" w:rsidRDefault="00000000">
            <w:pPr>
              <w:spacing w:after="40"/>
            </w:pPr>
            <w:r>
              <w:rPr>
                <w:b/>
                <w:sz w:val="18"/>
              </w:rPr>
              <w:t>Purpose</w:t>
            </w:r>
          </w:p>
        </w:tc>
      </w:tr>
      <w:tr w:rsidR="0039721F" w14:paraId="1DF1EDD5" w14:textId="77777777">
        <w:trPr>
          <w:jc w:val="center"/>
        </w:trPr>
        <w:tc>
          <w:tcPr>
            <w:tcW w:w="4824" w:type="dxa"/>
          </w:tcPr>
          <w:p w14:paraId="7DE0979A" w14:textId="77777777" w:rsidR="0039721F" w:rsidRDefault="00000000">
            <w:pPr>
              <w:spacing w:after="40"/>
            </w:pPr>
            <w:r>
              <w:rPr>
                <w:rFonts w:ascii="Consolas" w:hAnsi="Consolas"/>
                <w:color w:val="8A2B2B"/>
                <w:sz w:val="18"/>
              </w:rPr>
              <w:t>GET /health</w:t>
            </w:r>
          </w:p>
        </w:tc>
        <w:tc>
          <w:tcPr>
            <w:tcW w:w="4824" w:type="dxa"/>
          </w:tcPr>
          <w:p w14:paraId="2C24E1A9" w14:textId="77777777" w:rsidR="0039721F" w:rsidRDefault="00000000">
            <w:pPr>
              <w:spacing w:after="40"/>
            </w:pPr>
            <w:r>
              <w:rPr>
                <w:sz w:val="18"/>
              </w:rPr>
              <w:t>Liveness + environment name</w:t>
            </w:r>
          </w:p>
        </w:tc>
      </w:tr>
      <w:tr w:rsidR="0039721F" w14:paraId="68A8B881" w14:textId="77777777">
        <w:trPr>
          <w:jc w:val="center"/>
        </w:trPr>
        <w:tc>
          <w:tcPr>
            <w:tcW w:w="4824" w:type="dxa"/>
          </w:tcPr>
          <w:p w14:paraId="653DCB42" w14:textId="77777777" w:rsidR="0039721F" w:rsidRDefault="00000000">
            <w:pPr>
              <w:spacing w:after="40"/>
            </w:pPr>
            <w:r>
              <w:rPr>
                <w:rFonts w:ascii="Consolas" w:hAnsi="Consolas"/>
                <w:color w:val="8A2B2B"/>
                <w:sz w:val="18"/>
              </w:rPr>
              <w:t>POST /ingestion/{caaqms,firms,osm,sentinel5p,meteo}/run</w:t>
            </w:r>
          </w:p>
        </w:tc>
        <w:tc>
          <w:tcPr>
            <w:tcW w:w="4824" w:type="dxa"/>
          </w:tcPr>
          <w:p w14:paraId="0EAB9CBD" w14:textId="77777777" w:rsidR="0039721F" w:rsidRDefault="00000000">
            <w:pPr>
              <w:spacing w:after="40"/>
            </w:pPr>
            <w:r>
              <w:rPr>
                <w:sz w:val="18"/>
              </w:rPr>
              <w:t>Manual per‑source pull trigger (demo‑friendly)</w:t>
            </w:r>
          </w:p>
        </w:tc>
      </w:tr>
      <w:tr w:rsidR="0039721F" w14:paraId="3BD3AF85" w14:textId="77777777">
        <w:trPr>
          <w:jc w:val="center"/>
        </w:trPr>
        <w:tc>
          <w:tcPr>
            <w:tcW w:w="4824" w:type="dxa"/>
          </w:tcPr>
          <w:p w14:paraId="2BBB0F65" w14:textId="77777777" w:rsidR="0039721F" w:rsidRDefault="00000000">
            <w:pPr>
              <w:spacing w:after="40"/>
            </w:pPr>
            <w:r>
              <w:rPr>
                <w:rFonts w:ascii="Consolas" w:hAnsi="Consolas"/>
                <w:color w:val="8A2B2B"/>
                <w:sz w:val="18"/>
              </w:rPr>
              <w:t>GET /ingestion/status</w:t>
            </w:r>
            <w:r>
              <w:rPr>
                <w:sz w:val="18"/>
              </w:rPr>
              <w:t xml:space="preserve"> / </w:t>
            </w:r>
            <w:r>
              <w:rPr>
                <w:rFonts w:ascii="Consolas" w:hAnsi="Consolas"/>
                <w:color w:val="8A2B2B"/>
                <w:sz w:val="18"/>
              </w:rPr>
              <w:t>GET /ingestion/summary</w:t>
            </w:r>
          </w:p>
        </w:tc>
        <w:tc>
          <w:tcPr>
            <w:tcW w:w="4824" w:type="dxa"/>
          </w:tcPr>
          <w:p w14:paraId="424A6A10" w14:textId="77777777" w:rsidR="0039721F" w:rsidRDefault="00000000">
            <w:pPr>
              <w:spacing w:after="40"/>
            </w:pPr>
            <w:r>
              <w:rPr>
                <w:sz w:val="18"/>
              </w:rPr>
              <w:t>Run history / consolidated per‑source health (last run, row counts, freshness)</w:t>
            </w:r>
          </w:p>
        </w:tc>
      </w:tr>
      <w:tr w:rsidR="0039721F" w14:paraId="431BAACB" w14:textId="77777777">
        <w:trPr>
          <w:jc w:val="center"/>
        </w:trPr>
        <w:tc>
          <w:tcPr>
            <w:tcW w:w="4824" w:type="dxa"/>
          </w:tcPr>
          <w:p w14:paraId="430154A3" w14:textId="77777777" w:rsidR="0039721F" w:rsidRDefault="00000000">
            <w:pPr>
              <w:spacing w:after="40"/>
            </w:pPr>
            <w:r>
              <w:rPr>
                <w:rFonts w:ascii="Consolas" w:hAnsi="Consolas"/>
                <w:color w:val="8A2B2B"/>
                <w:sz w:val="18"/>
              </w:rPr>
              <w:t>POST /grid/generate</w:t>
            </w:r>
            <w:r>
              <w:rPr>
                <w:sz w:val="18"/>
              </w:rPr>
              <w:t xml:space="preserve"> / </w:t>
            </w:r>
            <w:r>
              <w:rPr>
                <w:rFonts w:ascii="Consolas" w:hAnsi="Consolas"/>
                <w:color w:val="8A2B2B"/>
                <w:sz w:val="18"/>
              </w:rPr>
              <w:t>POST /grid/materialize</w:t>
            </w:r>
          </w:p>
        </w:tc>
        <w:tc>
          <w:tcPr>
            <w:tcW w:w="4824" w:type="dxa"/>
          </w:tcPr>
          <w:p w14:paraId="2518CA75" w14:textId="77777777" w:rsidR="0039721F" w:rsidRDefault="00000000">
            <w:pPr>
              <w:spacing w:after="40"/>
            </w:pPr>
            <w:r>
              <w:rPr>
                <w:sz w:val="18"/>
              </w:rPr>
              <w:t>One‑time grid generation / hourly IDW materialization</w:t>
            </w:r>
          </w:p>
        </w:tc>
      </w:tr>
      <w:tr w:rsidR="0039721F" w14:paraId="66FDFC2C" w14:textId="77777777">
        <w:trPr>
          <w:jc w:val="center"/>
        </w:trPr>
        <w:tc>
          <w:tcPr>
            <w:tcW w:w="4824" w:type="dxa"/>
          </w:tcPr>
          <w:p w14:paraId="177401BE" w14:textId="77777777" w:rsidR="0039721F" w:rsidRDefault="00000000">
            <w:pPr>
              <w:spacing w:after="40"/>
            </w:pPr>
            <w:r>
              <w:rPr>
                <w:rFonts w:ascii="Consolas" w:hAnsi="Consolas"/>
                <w:color w:val="8A2B2B"/>
                <w:sz w:val="18"/>
              </w:rPr>
              <w:t>GET /grid/cells</w:t>
            </w:r>
            <w:r>
              <w:rPr>
                <w:sz w:val="18"/>
              </w:rPr>
              <w:t xml:space="preserve"> / </w:t>
            </w:r>
            <w:r>
              <w:rPr>
                <w:rFonts w:ascii="Consolas" w:hAnsi="Consolas"/>
                <w:color w:val="8A2B2B"/>
                <w:sz w:val="18"/>
              </w:rPr>
              <w:t>GET /grid/readings?parameter=</w:t>
            </w:r>
          </w:p>
        </w:tc>
        <w:tc>
          <w:tcPr>
            <w:tcW w:w="4824" w:type="dxa"/>
          </w:tcPr>
          <w:p w14:paraId="5873A140" w14:textId="77777777" w:rsidR="0039721F" w:rsidRDefault="00000000">
            <w:pPr>
              <w:spacing w:after="40"/>
            </w:pPr>
            <w:r>
              <w:rPr>
                <w:sz w:val="18"/>
              </w:rPr>
              <w:t>Cell geometries / latest gridded snapshot</w:t>
            </w:r>
          </w:p>
        </w:tc>
      </w:tr>
      <w:tr w:rsidR="0039721F" w14:paraId="7824C02B" w14:textId="77777777">
        <w:trPr>
          <w:jc w:val="center"/>
        </w:trPr>
        <w:tc>
          <w:tcPr>
            <w:tcW w:w="4824" w:type="dxa"/>
          </w:tcPr>
          <w:p w14:paraId="38C021B7" w14:textId="77777777" w:rsidR="0039721F" w:rsidRDefault="00000000">
            <w:pPr>
              <w:spacing w:after="40"/>
            </w:pPr>
            <w:r>
              <w:rPr>
                <w:rFonts w:ascii="Consolas" w:hAnsi="Consolas"/>
                <w:color w:val="8A2B2B"/>
                <w:sz w:val="18"/>
              </w:rPr>
              <w:t>GET /forecast/grid?horizon_hours=</w:t>
            </w:r>
          </w:p>
        </w:tc>
        <w:tc>
          <w:tcPr>
            <w:tcW w:w="4824" w:type="dxa"/>
          </w:tcPr>
          <w:p w14:paraId="3DDA3B61" w14:textId="77777777" w:rsidR="0039721F" w:rsidRDefault="00000000">
            <w:pPr>
              <w:spacing w:after="40"/>
            </w:pPr>
            <w:r>
              <w:rPr>
                <w:sz w:val="18"/>
              </w:rPr>
              <w:t>Full‑grid rollout up to 72h</w:t>
            </w:r>
          </w:p>
        </w:tc>
      </w:tr>
      <w:tr w:rsidR="0039721F" w14:paraId="7544F566" w14:textId="77777777">
        <w:trPr>
          <w:jc w:val="center"/>
        </w:trPr>
        <w:tc>
          <w:tcPr>
            <w:tcW w:w="4824" w:type="dxa"/>
          </w:tcPr>
          <w:p w14:paraId="34ED19D9" w14:textId="77777777" w:rsidR="0039721F" w:rsidRDefault="00000000">
            <w:pPr>
              <w:spacing w:after="40"/>
            </w:pPr>
            <w:r>
              <w:rPr>
                <w:rFonts w:ascii="Consolas" w:hAnsi="Consolas"/>
                <w:color w:val="8A2B2B"/>
                <w:sz w:val="18"/>
              </w:rPr>
              <w:t>GET /forecast/cell/{grid_id}</w:t>
            </w:r>
          </w:p>
        </w:tc>
        <w:tc>
          <w:tcPr>
            <w:tcW w:w="4824" w:type="dxa"/>
          </w:tcPr>
          <w:p w14:paraId="070566CA" w14:textId="77777777" w:rsidR="0039721F" w:rsidRDefault="00000000">
            <w:pPr>
              <w:spacing w:after="40"/>
            </w:pPr>
            <w:r>
              <w:rPr>
                <w:sz w:val="18"/>
              </w:rPr>
              <w:t>Per‑cell observed history + forecast series</w:t>
            </w:r>
          </w:p>
        </w:tc>
      </w:tr>
      <w:tr w:rsidR="0039721F" w14:paraId="04C41E9A" w14:textId="77777777">
        <w:trPr>
          <w:jc w:val="center"/>
        </w:trPr>
        <w:tc>
          <w:tcPr>
            <w:tcW w:w="4824" w:type="dxa"/>
          </w:tcPr>
          <w:p w14:paraId="718735B9" w14:textId="77777777" w:rsidR="0039721F" w:rsidRDefault="00000000">
            <w:pPr>
              <w:spacing w:after="40"/>
            </w:pPr>
            <w:r>
              <w:rPr>
                <w:rFonts w:ascii="Consolas" w:hAnsi="Consolas"/>
                <w:color w:val="8A2B2B"/>
                <w:sz w:val="18"/>
              </w:rPr>
              <w:t>GET /forecast/metrics</w:t>
            </w:r>
          </w:p>
        </w:tc>
        <w:tc>
          <w:tcPr>
            <w:tcW w:w="4824" w:type="dxa"/>
          </w:tcPr>
          <w:p w14:paraId="6B24FB28" w14:textId="77777777" w:rsidR="0039721F" w:rsidRDefault="00000000">
            <w:pPr>
              <w:spacing w:after="40"/>
            </w:pPr>
            <w:r>
              <w:rPr>
                <w:sz w:val="18"/>
              </w:rPr>
              <w:t>RMSE vs. persistence, 1h and 24h (Section 32)</w:t>
            </w:r>
          </w:p>
        </w:tc>
      </w:tr>
      <w:tr w:rsidR="0039721F" w14:paraId="07C02135" w14:textId="77777777">
        <w:trPr>
          <w:jc w:val="center"/>
        </w:trPr>
        <w:tc>
          <w:tcPr>
            <w:tcW w:w="4824" w:type="dxa"/>
          </w:tcPr>
          <w:p w14:paraId="72D6B12A" w14:textId="77777777" w:rsidR="0039721F" w:rsidRDefault="00000000">
            <w:pPr>
              <w:spacing w:after="40"/>
            </w:pPr>
            <w:r>
              <w:rPr>
                <w:rFonts w:ascii="Consolas" w:hAnsi="Consolas"/>
                <w:color w:val="8A2B2B"/>
                <w:sz w:val="18"/>
              </w:rPr>
              <w:t>POST /agents/run?synthetic_grid_id=</w:t>
            </w:r>
          </w:p>
        </w:tc>
        <w:tc>
          <w:tcPr>
            <w:tcW w:w="4824" w:type="dxa"/>
          </w:tcPr>
          <w:p w14:paraId="31579371" w14:textId="77777777" w:rsidR="0039721F" w:rsidRDefault="00000000">
            <w:pPr>
              <w:spacing w:after="40"/>
            </w:pPr>
            <w:r>
              <w:rPr>
                <w:sz w:val="18"/>
              </w:rPr>
              <w:t>Run the full agent graph, optionally against a staged anomaly</w:t>
            </w:r>
          </w:p>
        </w:tc>
      </w:tr>
      <w:tr w:rsidR="0039721F" w14:paraId="44D6E363" w14:textId="77777777">
        <w:trPr>
          <w:jc w:val="center"/>
        </w:trPr>
        <w:tc>
          <w:tcPr>
            <w:tcW w:w="4824" w:type="dxa"/>
          </w:tcPr>
          <w:p w14:paraId="70C6A8D8" w14:textId="77777777" w:rsidR="0039721F" w:rsidRDefault="00000000">
            <w:pPr>
              <w:spacing w:after="40"/>
            </w:pPr>
            <w:r>
              <w:rPr>
                <w:rFonts w:ascii="Consolas" w:hAnsi="Consolas"/>
                <w:color w:val="8A2B2B"/>
                <w:sz w:val="18"/>
              </w:rPr>
              <w:t>GET /agents/recommendations</w:t>
            </w:r>
            <w:r>
              <w:rPr>
                <w:sz w:val="18"/>
              </w:rPr>
              <w:t xml:space="preserve"> / </w:t>
            </w:r>
            <w:r>
              <w:rPr>
                <w:rFonts w:ascii="Consolas" w:hAnsi="Consolas"/>
                <w:color w:val="8A2B2B"/>
                <w:sz w:val="18"/>
              </w:rPr>
              <w:t>GET /agents/runs</w:t>
            </w:r>
          </w:p>
        </w:tc>
        <w:tc>
          <w:tcPr>
            <w:tcW w:w="4824" w:type="dxa"/>
          </w:tcPr>
          <w:p w14:paraId="10486853" w14:textId="77777777" w:rsidR="0039721F" w:rsidRDefault="00000000">
            <w:pPr>
              <w:spacing w:after="40"/>
            </w:pPr>
            <w:r>
              <w:rPr>
                <w:sz w:val="18"/>
              </w:rPr>
              <w:t>Latest / paginated persisted enforcement runs</w:t>
            </w:r>
          </w:p>
        </w:tc>
      </w:tr>
      <w:tr w:rsidR="0039721F" w14:paraId="6D5E2771" w14:textId="77777777">
        <w:trPr>
          <w:jc w:val="center"/>
        </w:trPr>
        <w:tc>
          <w:tcPr>
            <w:tcW w:w="4824" w:type="dxa"/>
          </w:tcPr>
          <w:p w14:paraId="02DE1F64" w14:textId="77777777" w:rsidR="0039721F" w:rsidRDefault="00000000">
            <w:pPr>
              <w:spacing w:after="40"/>
            </w:pPr>
            <w:r>
              <w:rPr>
                <w:rFonts w:ascii="Consolas" w:hAnsi="Consolas"/>
                <w:color w:val="8A2B2B"/>
                <w:sz w:val="18"/>
              </w:rPr>
              <w:t>POST /agents/runs/{id}/status</w:t>
            </w:r>
          </w:p>
        </w:tc>
        <w:tc>
          <w:tcPr>
            <w:tcW w:w="4824" w:type="dxa"/>
          </w:tcPr>
          <w:p w14:paraId="1E66EB50" w14:textId="77777777" w:rsidR="0039721F" w:rsidRDefault="00000000">
            <w:pPr>
              <w:spacing w:after="40"/>
            </w:pPr>
            <w:r>
              <w:rPr>
                <w:sz w:val="18"/>
              </w:rPr>
              <w:t>Dispatch lifecycle transition (Section 21)</w:t>
            </w:r>
          </w:p>
        </w:tc>
      </w:tr>
      <w:tr w:rsidR="0039721F" w14:paraId="166E466A" w14:textId="77777777">
        <w:trPr>
          <w:jc w:val="center"/>
        </w:trPr>
        <w:tc>
          <w:tcPr>
            <w:tcW w:w="4824" w:type="dxa"/>
          </w:tcPr>
          <w:p w14:paraId="501C008D" w14:textId="77777777" w:rsidR="0039721F" w:rsidRDefault="00000000">
            <w:pPr>
              <w:spacing w:after="40"/>
            </w:pPr>
            <w:r>
              <w:rPr>
                <w:rFonts w:ascii="Consolas" w:hAnsi="Consolas"/>
                <w:color w:val="8A2B2B"/>
                <w:sz w:val="18"/>
              </w:rPr>
              <w:t>GET /advisory?lang=</w:t>
            </w:r>
          </w:p>
        </w:tc>
        <w:tc>
          <w:tcPr>
            <w:tcW w:w="4824" w:type="dxa"/>
          </w:tcPr>
          <w:p w14:paraId="5D4E0DA4" w14:textId="77777777" w:rsidR="0039721F" w:rsidRDefault="00000000">
            <w:pPr>
              <w:spacing w:after="40"/>
            </w:pPr>
            <w:r>
              <w:rPr>
                <w:sz w:val="18"/>
              </w:rPr>
              <w:t>Citizen advisory in `en\</w:t>
            </w:r>
          </w:p>
        </w:tc>
      </w:tr>
      <w:tr w:rsidR="0039721F" w14:paraId="02D25A46" w14:textId="77777777">
        <w:trPr>
          <w:jc w:val="center"/>
        </w:trPr>
        <w:tc>
          <w:tcPr>
            <w:tcW w:w="4824" w:type="dxa"/>
          </w:tcPr>
          <w:p w14:paraId="1F901153" w14:textId="77777777" w:rsidR="0039721F" w:rsidRDefault="00000000">
            <w:pPr>
              <w:spacing w:after="40"/>
            </w:pPr>
            <w:r>
              <w:rPr>
                <w:rFonts w:ascii="Consolas" w:hAnsi="Consolas"/>
                <w:color w:val="8A2B2B"/>
                <w:sz w:val="18"/>
              </w:rPr>
              <w:t>GET /stats/summary</w:t>
            </w:r>
          </w:p>
        </w:tc>
        <w:tc>
          <w:tcPr>
            <w:tcW w:w="4824" w:type="dxa"/>
          </w:tcPr>
          <w:p w14:paraId="74F55532" w14:textId="77777777" w:rsidR="0039721F" w:rsidRDefault="00000000">
            <w:pPr>
              <w:spacing w:after="40"/>
            </w:pPr>
            <w:r>
              <w:rPr>
                <w:sz w:val="18"/>
              </w:rPr>
              <w:t>Server‑computed city snapshot: mean, max, CPCB category, 24h trend</w:t>
            </w:r>
          </w:p>
        </w:tc>
      </w:tr>
      <w:tr w:rsidR="0039721F" w14:paraId="4F45BB8A" w14:textId="77777777">
        <w:trPr>
          <w:jc w:val="center"/>
        </w:trPr>
        <w:tc>
          <w:tcPr>
            <w:tcW w:w="4824" w:type="dxa"/>
          </w:tcPr>
          <w:p w14:paraId="5ADDF3B0" w14:textId="77777777" w:rsidR="0039721F" w:rsidRDefault="00000000">
            <w:pPr>
              <w:spacing w:after="40"/>
            </w:pPr>
            <w:r>
              <w:rPr>
                <w:rFonts w:ascii="Consolas" w:hAnsi="Consolas"/>
                <w:color w:val="8A2B2B"/>
                <w:sz w:val="18"/>
              </w:rPr>
              <w:t>GET /stations</w:t>
            </w:r>
            <w:r>
              <w:rPr>
                <w:sz w:val="18"/>
              </w:rPr>
              <w:t xml:space="preserve"> / </w:t>
            </w:r>
            <w:r>
              <w:rPr>
                <w:rFonts w:ascii="Consolas" w:hAnsi="Consolas"/>
                <w:color w:val="8A2B2B"/>
                <w:sz w:val="18"/>
              </w:rPr>
              <w:t>GET /cities</w:t>
            </w:r>
          </w:p>
        </w:tc>
        <w:tc>
          <w:tcPr>
            <w:tcW w:w="4824" w:type="dxa"/>
          </w:tcPr>
          <w:p w14:paraId="0FDA92FD" w14:textId="77777777" w:rsidR="0039721F" w:rsidRDefault="00000000">
            <w:pPr>
              <w:spacing w:after="40"/>
            </w:pPr>
            <w:r>
              <w:rPr>
                <w:sz w:val="18"/>
              </w:rPr>
              <w:t>CAAQMS station markers / registered‑city listing with live/onboarding state</w:t>
            </w:r>
          </w:p>
        </w:tc>
      </w:tr>
    </w:tbl>
    <w:p w14:paraId="41388FD9" w14:textId="77777777" w:rsidR="0039721F" w:rsidRDefault="0039721F">
      <w:pPr>
        <w:spacing w:after="80"/>
      </w:pPr>
    </w:p>
    <w:p w14:paraId="31F35532" w14:textId="77777777" w:rsidR="0039721F" w:rsidRDefault="00000000">
      <w:r>
        <w:t>The frontend consumes this surface through a single typed client (</w:t>
      </w:r>
      <w:r>
        <w:rPr>
          <w:rFonts w:ascii="Consolas" w:hAnsi="Consolas"/>
          <w:color w:val="8A2B2B"/>
          <w:sz w:val="19"/>
        </w:rPr>
        <w:t>frontend/lib/api.ts</w:t>
      </w:r>
      <w:r>
        <w:t xml:space="preserve">), and </w:t>
      </w:r>
      <w:r>
        <w:rPr>
          <w:rFonts w:ascii="Consolas" w:hAnsi="Consolas"/>
          <w:color w:val="8A2B2B"/>
          <w:sz w:val="19"/>
        </w:rPr>
        <w:t>SITEMAP.md</w:t>
      </w:r>
      <w:r>
        <w:t xml:space="preserve"> is maintained as a living contract mapping every route to the endpoints it uses today versus the endpoints it is already built to consume once the backend grows them — so the gap between "UI built" and "backend wired" is always explicit rather than discovered by a broken page.</w:t>
      </w:r>
    </w:p>
    <w:p w14:paraId="5F181F14" w14:textId="77777777" w:rsidR="0039721F" w:rsidRDefault="00000000">
      <w:pPr>
        <w:pStyle w:val="Heading1"/>
      </w:pPr>
      <w:r>
        <w:t>26. Technology Stack</w:t>
      </w:r>
    </w:p>
    <w:tbl>
      <w:tblPr>
        <w:tblStyle w:val="TableGrid"/>
        <w:tblW w:w="0" w:type="auto"/>
        <w:jc w:val="center"/>
        <w:tblLook w:val="04A0" w:firstRow="1" w:lastRow="0" w:firstColumn="1" w:lastColumn="0" w:noHBand="0" w:noVBand="1"/>
      </w:tblPr>
      <w:tblGrid>
        <w:gridCol w:w="4824"/>
        <w:gridCol w:w="4824"/>
      </w:tblGrid>
      <w:tr w:rsidR="0039721F" w14:paraId="30DDBA77" w14:textId="77777777">
        <w:trPr>
          <w:jc w:val="center"/>
        </w:trPr>
        <w:tc>
          <w:tcPr>
            <w:tcW w:w="4824" w:type="dxa"/>
            <w:shd w:val="clear" w:color="auto" w:fill="E4DEFF"/>
          </w:tcPr>
          <w:p w14:paraId="3B6D19C8" w14:textId="77777777" w:rsidR="0039721F" w:rsidRDefault="00000000">
            <w:pPr>
              <w:spacing w:after="40"/>
            </w:pPr>
            <w:r>
              <w:rPr>
                <w:b/>
                <w:sz w:val="18"/>
              </w:rPr>
              <w:lastRenderedPageBreak/>
              <w:t>Layer</w:t>
            </w:r>
          </w:p>
        </w:tc>
        <w:tc>
          <w:tcPr>
            <w:tcW w:w="4824" w:type="dxa"/>
            <w:shd w:val="clear" w:color="auto" w:fill="E4DEFF"/>
          </w:tcPr>
          <w:p w14:paraId="6382ED7D" w14:textId="77777777" w:rsidR="0039721F" w:rsidRDefault="00000000">
            <w:pPr>
              <w:spacing w:after="40"/>
            </w:pPr>
            <w:r>
              <w:rPr>
                <w:b/>
                <w:sz w:val="18"/>
              </w:rPr>
              <w:t>Technologies</w:t>
            </w:r>
          </w:p>
        </w:tc>
      </w:tr>
      <w:tr w:rsidR="0039721F" w14:paraId="32FAB3E7" w14:textId="77777777">
        <w:trPr>
          <w:jc w:val="center"/>
        </w:trPr>
        <w:tc>
          <w:tcPr>
            <w:tcW w:w="4824" w:type="dxa"/>
          </w:tcPr>
          <w:p w14:paraId="454729D7" w14:textId="77777777" w:rsidR="0039721F" w:rsidRDefault="00000000">
            <w:pPr>
              <w:spacing w:after="40"/>
            </w:pPr>
            <w:r>
              <w:rPr>
                <w:sz w:val="18"/>
              </w:rPr>
              <w:t>Backend framework</w:t>
            </w:r>
          </w:p>
        </w:tc>
        <w:tc>
          <w:tcPr>
            <w:tcW w:w="4824" w:type="dxa"/>
          </w:tcPr>
          <w:p w14:paraId="561D094D" w14:textId="77777777" w:rsidR="0039721F" w:rsidRDefault="00000000">
            <w:pPr>
              <w:spacing w:after="40"/>
            </w:pPr>
            <w:r>
              <w:rPr>
                <w:sz w:val="18"/>
              </w:rPr>
              <w:t>FastAPI 0.115, Uvicorn, Pydantic v2, Pydantic‑Settings</w:t>
            </w:r>
          </w:p>
        </w:tc>
      </w:tr>
      <w:tr w:rsidR="0039721F" w14:paraId="748365AB" w14:textId="77777777">
        <w:trPr>
          <w:jc w:val="center"/>
        </w:trPr>
        <w:tc>
          <w:tcPr>
            <w:tcW w:w="4824" w:type="dxa"/>
          </w:tcPr>
          <w:p w14:paraId="56D47218" w14:textId="77777777" w:rsidR="0039721F" w:rsidRDefault="00000000">
            <w:pPr>
              <w:spacing w:after="40"/>
            </w:pPr>
            <w:r>
              <w:rPr>
                <w:sz w:val="18"/>
              </w:rPr>
              <w:t>Database / geospatial</w:t>
            </w:r>
          </w:p>
        </w:tc>
        <w:tc>
          <w:tcPr>
            <w:tcW w:w="4824" w:type="dxa"/>
          </w:tcPr>
          <w:p w14:paraId="2F29E001" w14:textId="77777777" w:rsidR="0039721F" w:rsidRDefault="00000000">
            <w:pPr>
              <w:spacing w:after="40"/>
            </w:pPr>
            <w:r>
              <w:rPr>
                <w:sz w:val="18"/>
              </w:rPr>
              <w:t>PostgreSQL + PostGIS 16‑3.4, SQLAlchemy 2.0, GeoAlchemy2, psycopg2, Redis</w:t>
            </w:r>
          </w:p>
        </w:tc>
      </w:tr>
      <w:tr w:rsidR="0039721F" w14:paraId="6B887B5C" w14:textId="77777777">
        <w:trPr>
          <w:jc w:val="center"/>
        </w:trPr>
        <w:tc>
          <w:tcPr>
            <w:tcW w:w="4824" w:type="dxa"/>
          </w:tcPr>
          <w:p w14:paraId="6FE0531E" w14:textId="77777777" w:rsidR="0039721F" w:rsidRDefault="00000000">
            <w:pPr>
              <w:spacing w:after="40"/>
            </w:pPr>
            <w:r>
              <w:rPr>
                <w:sz w:val="18"/>
              </w:rPr>
              <w:t>Scheduling &amp; HTTP</w:t>
            </w:r>
          </w:p>
        </w:tc>
        <w:tc>
          <w:tcPr>
            <w:tcW w:w="4824" w:type="dxa"/>
          </w:tcPr>
          <w:p w14:paraId="0BE1ABCC" w14:textId="77777777" w:rsidR="0039721F" w:rsidRDefault="00000000">
            <w:pPr>
              <w:spacing w:after="40"/>
            </w:pPr>
            <w:r>
              <w:rPr>
                <w:sz w:val="18"/>
              </w:rPr>
              <w:t>APScheduler (AsyncIO), httpx, tenacity (retry/backoff)</w:t>
            </w:r>
          </w:p>
        </w:tc>
      </w:tr>
      <w:tr w:rsidR="0039721F" w14:paraId="58B35FFC" w14:textId="77777777">
        <w:trPr>
          <w:jc w:val="center"/>
        </w:trPr>
        <w:tc>
          <w:tcPr>
            <w:tcW w:w="4824" w:type="dxa"/>
          </w:tcPr>
          <w:p w14:paraId="6DF178D9" w14:textId="77777777" w:rsidR="0039721F" w:rsidRDefault="00000000">
            <w:pPr>
              <w:spacing w:after="40"/>
            </w:pPr>
            <w:r>
              <w:rPr>
                <w:sz w:val="18"/>
              </w:rPr>
              <w:t>Scientific / geospatial computation</w:t>
            </w:r>
          </w:p>
        </w:tc>
        <w:tc>
          <w:tcPr>
            <w:tcW w:w="4824" w:type="dxa"/>
          </w:tcPr>
          <w:p w14:paraId="63B6038F" w14:textId="77777777" w:rsidR="0039721F" w:rsidRDefault="00000000">
            <w:pPr>
              <w:spacing w:after="40"/>
            </w:pPr>
            <w:r>
              <w:rPr>
                <w:sz w:val="18"/>
              </w:rPr>
              <w:t>NumPy, SciPy, Shapely, GeoPandas, Rasterio</w:t>
            </w:r>
          </w:p>
        </w:tc>
      </w:tr>
      <w:tr w:rsidR="0039721F" w14:paraId="00FEE8DE" w14:textId="77777777">
        <w:trPr>
          <w:jc w:val="center"/>
        </w:trPr>
        <w:tc>
          <w:tcPr>
            <w:tcW w:w="4824" w:type="dxa"/>
          </w:tcPr>
          <w:p w14:paraId="74763AFC" w14:textId="77777777" w:rsidR="0039721F" w:rsidRDefault="00000000">
            <w:pPr>
              <w:spacing w:after="40"/>
            </w:pPr>
            <w:r>
              <w:rPr>
                <w:sz w:val="18"/>
              </w:rPr>
              <w:t>Machine learning</w:t>
            </w:r>
          </w:p>
        </w:tc>
        <w:tc>
          <w:tcPr>
            <w:tcW w:w="4824" w:type="dxa"/>
          </w:tcPr>
          <w:p w14:paraId="76C1B9B9" w14:textId="77777777" w:rsidR="0039721F" w:rsidRDefault="00000000">
            <w:pPr>
              <w:spacing w:after="40"/>
            </w:pPr>
            <w:r>
              <w:rPr>
                <w:sz w:val="18"/>
              </w:rPr>
              <w:t>PyTorch 2.5.1 (ConvLSTM), scikit‑learn, pandas</w:t>
            </w:r>
          </w:p>
        </w:tc>
      </w:tr>
      <w:tr w:rsidR="0039721F" w14:paraId="6C2C3200" w14:textId="77777777">
        <w:trPr>
          <w:jc w:val="center"/>
        </w:trPr>
        <w:tc>
          <w:tcPr>
            <w:tcW w:w="4824" w:type="dxa"/>
          </w:tcPr>
          <w:p w14:paraId="4E384D76" w14:textId="77777777" w:rsidR="0039721F" w:rsidRDefault="00000000">
            <w:pPr>
              <w:spacing w:after="40"/>
            </w:pPr>
            <w:r>
              <w:rPr>
                <w:sz w:val="18"/>
              </w:rPr>
              <w:t>Multi‑agent orchestration</w:t>
            </w:r>
          </w:p>
        </w:tc>
        <w:tc>
          <w:tcPr>
            <w:tcW w:w="4824" w:type="dxa"/>
          </w:tcPr>
          <w:p w14:paraId="61008647" w14:textId="77777777" w:rsidR="0039721F" w:rsidRDefault="00000000">
            <w:pPr>
              <w:spacing w:after="40"/>
            </w:pPr>
            <w:r>
              <w:rPr>
                <w:sz w:val="18"/>
              </w:rPr>
              <w:t>LangGraph, Groq SDK (</w:t>
            </w:r>
            <w:r>
              <w:rPr>
                <w:rFonts w:ascii="Consolas" w:hAnsi="Consolas"/>
                <w:color w:val="8A2B2B"/>
                <w:sz w:val="18"/>
              </w:rPr>
              <w:t>llama-3.3-70b-versatile</w:t>
            </w:r>
            <w:r>
              <w:rPr>
                <w:sz w:val="18"/>
              </w:rPr>
              <w:t>), Anthropic SDK (Claude, alternative provider)</w:t>
            </w:r>
          </w:p>
        </w:tc>
      </w:tr>
      <w:tr w:rsidR="0039721F" w14:paraId="1C0026F3" w14:textId="77777777">
        <w:trPr>
          <w:jc w:val="center"/>
        </w:trPr>
        <w:tc>
          <w:tcPr>
            <w:tcW w:w="4824" w:type="dxa"/>
          </w:tcPr>
          <w:p w14:paraId="76870C87" w14:textId="77777777" w:rsidR="0039721F" w:rsidRDefault="00000000">
            <w:pPr>
              <w:spacing w:after="40"/>
            </w:pPr>
            <w:r>
              <w:rPr>
                <w:sz w:val="18"/>
              </w:rPr>
              <w:t>Testing</w:t>
            </w:r>
          </w:p>
        </w:tc>
        <w:tc>
          <w:tcPr>
            <w:tcW w:w="4824" w:type="dxa"/>
          </w:tcPr>
          <w:p w14:paraId="35F891DA" w14:textId="77777777" w:rsidR="0039721F" w:rsidRDefault="00000000">
            <w:pPr>
              <w:spacing w:after="40"/>
            </w:pPr>
            <w:r>
              <w:rPr>
                <w:sz w:val="18"/>
              </w:rPr>
              <w:t>pytest, respx (HTTP mocking)</w:t>
            </w:r>
          </w:p>
        </w:tc>
      </w:tr>
      <w:tr w:rsidR="0039721F" w14:paraId="4A91DFC4" w14:textId="77777777">
        <w:trPr>
          <w:jc w:val="center"/>
        </w:trPr>
        <w:tc>
          <w:tcPr>
            <w:tcW w:w="4824" w:type="dxa"/>
          </w:tcPr>
          <w:p w14:paraId="4CE2E815" w14:textId="77777777" w:rsidR="0039721F" w:rsidRDefault="00000000">
            <w:pPr>
              <w:spacing w:after="40"/>
            </w:pPr>
            <w:r>
              <w:rPr>
                <w:sz w:val="18"/>
              </w:rPr>
              <w:t>Frontend</w:t>
            </w:r>
          </w:p>
        </w:tc>
        <w:tc>
          <w:tcPr>
            <w:tcW w:w="4824" w:type="dxa"/>
          </w:tcPr>
          <w:p w14:paraId="37EE431F" w14:textId="77777777" w:rsidR="0039721F" w:rsidRDefault="00000000">
            <w:pPr>
              <w:spacing w:after="40"/>
            </w:pPr>
            <w:r>
              <w:rPr>
                <w:sz w:val="18"/>
              </w:rPr>
              <w:t>Next.js 14.2.35, React 18.3, TypeScript, Tailwind CSS</w:t>
            </w:r>
          </w:p>
        </w:tc>
      </w:tr>
      <w:tr w:rsidR="0039721F" w14:paraId="132D2445" w14:textId="77777777">
        <w:trPr>
          <w:jc w:val="center"/>
        </w:trPr>
        <w:tc>
          <w:tcPr>
            <w:tcW w:w="4824" w:type="dxa"/>
          </w:tcPr>
          <w:p w14:paraId="5942446F" w14:textId="77777777" w:rsidR="0039721F" w:rsidRDefault="00000000">
            <w:pPr>
              <w:spacing w:after="40"/>
            </w:pPr>
            <w:r>
              <w:rPr>
                <w:sz w:val="18"/>
              </w:rPr>
              <w:t>Mapping / charts</w:t>
            </w:r>
          </w:p>
        </w:tc>
        <w:tc>
          <w:tcPr>
            <w:tcW w:w="4824" w:type="dxa"/>
          </w:tcPr>
          <w:p w14:paraId="5E48352F" w14:textId="77777777" w:rsidR="0039721F" w:rsidRDefault="00000000">
            <w:pPr>
              <w:spacing w:after="40"/>
            </w:pPr>
            <w:r>
              <w:rPr>
                <w:sz w:val="18"/>
              </w:rPr>
              <w:t>Leaflet + react‑leaflet, Recharts</w:t>
            </w:r>
          </w:p>
        </w:tc>
      </w:tr>
      <w:tr w:rsidR="0039721F" w14:paraId="6AFCE4B5" w14:textId="77777777">
        <w:trPr>
          <w:jc w:val="center"/>
        </w:trPr>
        <w:tc>
          <w:tcPr>
            <w:tcW w:w="4824" w:type="dxa"/>
          </w:tcPr>
          <w:p w14:paraId="45D51686" w14:textId="77777777" w:rsidR="0039721F" w:rsidRDefault="00000000">
            <w:pPr>
              <w:spacing w:after="40"/>
            </w:pPr>
            <w:r>
              <w:rPr>
                <w:sz w:val="18"/>
              </w:rPr>
              <w:t>Motion &amp; UI kit</w:t>
            </w:r>
          </w:p>
        </w:tc>
        <w:tc>
          <w:tcPr>
            <w:tcW w:w="4824" w:type="dxa"/>
          </w:tcPr>
          <w:p w14:paraId="1ACDFA02" w14:textId="77777777" w:rsidR="0039721F" w:rsidRDefault="00000000">
            <w:pPr>
              <w:spacing w:after="40"/>
            </w:pPr>
            <w:r>
              <w:rPr>
                <w:sz w:val="18"/>
              </w:rPr>
              <w:t xml:space="preserve">Framer Motion, lucide‑react icons, </w:t>
            </w:r>
            <w:r>
              <w:rPr>
                <w:rFonts w:ascii="Consolas" w:hAnsi="Consolas"/>
                <w:color w:val="8A2B2B"/>
                <w:sz w:val="18"/>
              </w:rPr>
              <w:t>ux4g-web-components</w:t>
            </w:r>
            <w:r>
              <w:rPr>
                <w:sz w:val="18"/>
              </w:rPr>
              <w:t xml:space="preserve"> (India's government design system)</w:t>
            </w:r>
          </w:p>
        </w:tc>
      </w:tr>
      <w:tr w:rsidR="0039721F" w14:paraId="50D63892" w14:textId="77777777">
        <w:trPr>
          <w:jc w:val="center"/>
        </w:trPr>
        <w:tc>
          <w:tcPr>
            <w:tcW w:w="4824" w:type="dxa"/>
          </w:tcPr>
          <w:p w14:paraId="02DEE69F" w14:textId="77777777" w:rsidR="0039721F" w:rsidRDefault="00000000">
            <w:pPr>
              <w:spacing w:after="40"/>
            </w:pPr>
            <w:r>
              <w:rPr>
                <w:sz w:val="18"/>
              </w:rPr>
              <w:t>Infrastructure</w:t>
            </w:r>
          </w:p>
        </w:tc>
        <w:tc>
          <w:tcPr>
            <w:tcW w:w="4824" w:type="dxa"/>
          </w:tcPr>
          <w:p w14:paraId="3C4226C5" w14:textId="77777777" w:rsidR="0039721F" w:rsidRDefault="00000000">
            <w:pPr>
              <w:spacing w:after="40"/>
            </w:pPr>
            <w:r>
              <w:rPr>
                <w:sz w:val="18"/>
              </w:rPr>
              <w:t>Docker Compose for local dev; live at https://eta-liard-nine.vercel.app/ on Railway (backend), Supabase (Postgres+PostGIS), Upstash (Redis), and Vercel (frontend), see docs/DEPLOY.md</w:t>
            </w:r>
          </w:p>
        </w:tc>
      </w:tr>
    </w:tbl>
    <w:p w14:paraId="45452430" w14:textId="77777777" w:rsidR="0039721F" w:rsidRDefault="0039721F">
      <w:pPr>
        <w:spacing w:after="80"/>
      </w:pPr>
    </w:p>
    <w:p w14:paraId="088A158A" w14:textId="77777777" w:rsidR="0039721F" w:rsidRDefault="00000000">
      <w:pPr>
        <w:pStyle w:val="Heading1"/>
      </w:pPr>
      <w:r>
        <w:t>27. Security and Privacy</w:t>
      </w:r>
    </w:p>
    <w:p w14:paraId="34690947" w14:textId="77777777" w:rsidR="0039721F" w:rsidRDefault="00000000">
      <w:r>
        <w:t xml:space="preserve">The current prototype is a hackathon build and is explicit about what is and is not hardened (see Section 37 for the full honest list): there is no authentication/authorisation layer on any route yet, and this is documented rather than hidden. What *is* in place: no PII is ever ingested or stored — every data modality (CAAQMS, fires, meteorology, land use, satellite catalog) is environmental, not personal; API keys (OpenAQ, NASA FIRMS, Copernicus CDSE, Groq/Anthropic) are loaded exclusively from a git‑ignored </w:t>
      </w:r>
      <w:r>
        <w:rPr>
          <w:rFonts w:ascii="Consolas" w:hAnsi="Consolas"/>
          <w:color w:val="8A2B2B"/>
          <w:sz w:val="19"/>
        </w:rPr>
        <w:t>.env</w:t>
      </w:r>
      <w:r>
        <w:t xml:space="preserve"> via a single centralized </w:t>
      </w:r>
      <w:r>
        <w:rPr>
          <w:rFonts w:ascii="Consolas" w:hAnsi="Consolas"/>
          <w:color w:val="8A2B2B"/>
          <w:sz w:val="19"/>
        </w:rPr>
        <w:t>Settings</w:t>
      </w:r>
      <w:r>
        <w:t xml:space="preserve"> object, never hardcoded, and each teammate uses their own free‑tier keys rather than a shared secret; CORS origins are configured per environment; and the LLM wrapper enforces a hard 15‑second timeout with a single retry so a slow or misbehaving provider can never hang a request indefinitely. The documented path to production hardening is: bearer‑token or OAuth2 auth on write endpoints (ingestion triggers, agent dispatch‑status transitions), rate limiting on the public advisory/forecast endpoints, and secrets moved to a managed secret store ahead of any real deployment (Section 29).</w:t>
      </w:r>
    </w:p>
    <w:p w14:paraId="3C95C0D6" w14:textId="77777777" w:rsidR="0039721F" w:rsidRDefault="00000000">
      <w:pPr>
        <w:pStyle w:val="Heading1"/>
      </w:pPr>
      <w:r>
        <w:t>28. Scalability and Performance</w:t>
      </w:r>
    </w:p>
    <w:p w14:paraId="581395A0" w14:textId="77777777" w:rsidR="0039721F" w:rsidRDefault="00000000">
      <w:r>
        <w:rPr>
          <w:b/>
        </w:rPr>
        <w:t>Multi‑city scalability is architectural, not aspirational.</w:t>
      </w:r>
      <w:r>
        <w:t xml:space="preserve"> </w:t>
      </w:r>
      <w:r>
        <w:rPr>
          <w:rFonts w:ascii="Consolas" w:hAnsi="Consolas"/>
          <w:color w:val="8A2B2B"/>
          <w:sz w:val="19"/>
        </w:rPr>
        <w:t>ingestion/cities.py</w:t>
      </w:r>
      <w:r>
        <w:t xml:space="preserve"> is a </w:t>
      </w:r>
      <w:r>
        <w:rPr>
          <w:rFonts w:ascii="Consolas" w:hAnsi="Consolas"/>
          <w:color w:val="8A2B2B"/>
          <w:sz w:val="19"/>
        </w:rPr>
        <w:t>CityBounds</w:t>
      </w:r>
      <w:r>
        <w:t xml:space="preserve"> registry keyed by </w:t>
      </w:r>
      <w:r>
        <w:rPr>
          <w:rFonts w:ascii="Consolas" w:hAnsi="Consolas"/>
          <w:color w:val="8A2B2B"/>
          <w:sz w:val="19"/>
        </w:rPr>
        <w:t>slug</w:t>
      </w:r>
      <w:r>
        <w:t xml:space="preserve">; adding a city is one dataclass entry (bounding box + UTM EPSG code) — Mumbai is already registered this way. Every downstream table, route, checkpoint filename, and cube directory is partitioned by </w:t>
      </w:r>
      <w:r>
        <w:rPr>
          <w:rFonts w:ascii="Consolas" w:hAnsi="Consolas"/>
          <w:color w:val="8A2B2B"/>
          <w:sz w:val="19"/>
        </w:rPr>
        <w:t>city_slug</w:t>
      </w:r>
      <w:r>
        <w:t>, so onboarding a new city is ingestion time + one training run, not a code change in geospatial, features, models, or agents.</w:t>
      </w:r>
    </w:p>
    <w:p w14:paraId="02600AB3" w14:textId="77777777" w:rsidR="0039721F" w:rsidRDefault="00000000">
      <w:r>
        <w:rPr>
          <w:b/>
        </w:rPr>
        <w:t>Compute scalability.</w:t>
      </w:r>
      <w:r>
        <w:t xml:space="preserve"> Local CPU training runs roughly 6 minutes/epoch; the training entrypoint (</w:t>
      </w:r>
      <w:r>
        <w:rPr>
          <w:rFonts w:ascii="Consolas" w:hAnsi="Consolas"/>
          <w:color w:val="8A2B2B"/>
          <w:sz w:val="19"/>
        </w:rPr>
        <w:t>app/models/train.py --cubes-dir</w:t>
      </w:r>
      <w:r>
        <w:t>) has zero database dependency and imports only numpy + torch, so it runs unmodified on a free Kaggle/Colab GPU (</w:t>
      </w:r>
      <w:r>
        <w:rPr>
          <w:rFonts w:ascii="Consolas" w:hAnsi="Consolas"/>
          <w:color w:val="8A2B2B"/>
          <w:sz w:val="19"/>
        </w:rPr>
        <w:t>docs/REMOTE_TRAINING.md</w:t>
      </w:r>
      <w:r>
        <w:t>) — the same epoch completes in seconds on a T4/P100, and the cube dataset is shared across a team as a single Kaggle Dataset rather than re‑uploaded per person.</w:t>
      </w:r>
    </w:p>
    <w:p w14:paraId="398713E6" w14:textId="77777777" w:rsidR="0039721F" w:rsidRDefault="00000000">
      <w:r>
        <w:rPr>
          <w:b/>
        </w:rPr>
        <w:t>Serving performance.</w:t>
      </w:r>
      <w:r>
        <w:t xml:space="preserve"> The model checkpoint is loaded once and cached (keyed by file mtime, so retraining requires no restart); inference loads only the last </w:t>
      </w:r>
      <w:r>
        <w:rPr>
          <w:rFonts w:ascii="Consolas" w:hAnsi="Consolas"/>
          <w:color w:val="8A2B2B"/>
          <w:sz w:val="19"/>
        </w:rPr>
        <w:t>window</w:t>
      </w:r>
      <w:r>
        <w:t xml:space="preserve"> cubes rather than the full history; IDW is fully </w:t>
      </w:r>
      <w:r>
        <w:lastRenderedPageBreak/>
        <w:t>vectorized (one matrix operation per parameter per hour, not a per‑cell loop); the attribution and enforcement agents use bounding‑box SQL prefilters before any precise vectorized distance computation, keeping each run's cost proportional to the local neighbourhood, not the whole city.</w:t>
      </w:r>
    </w:p>
    <w:p w14:paraId="0E13321B" w14:textId="77777777" w:rsidR="0039721F" w:rsidRDefault="00000000">
      <w:r>
        <w:rPr>
          <w:b/>
        </w:rPr>
        <w:t>Known scaling limits, stated honestly:</w:t>
      </w:r>
      <w:r>
        <w:t xml:space="preserve"> APScheduler runs in‑process, appropriate for a single‑instance hackathon deployment; a production multi‑city, multi‑instance deployment would move scheduling to Celery beat or an equivalent distributed scheduler (documented, not yet done). The </w:t>
      </w:r>
      <w:r>
        <w:rPr>
          <w:rFonts w:ascii="Consolas" w:hAnsi="Consolas"/>
          <w:color w:val="8A2B2B"/>
          <w:sz w:val="19"/>
        </w:rPr>
        <w:t>/map</w:t>
      </w:r>
      <w:r>
        <w:t xml:space="preserve"> payload (raw per‑cell JSON) will need vector/GeoJSON tiling or simplification once a city exceeds roughly 5,000 cells (documented in </w:t>
      </w:r>
      <w:r>
        <w:rPr>
          <w:rFonts w:ascii="Consolas" w:hAnsi="Consolas"/>
          <w:color w:val="8A2B2B"/>
          <w:sz w:val="19"/>
        </w:rPr>
        <w:t>SITEMAP.md</w:t>
      </w:r>
      <w:r>
        <w:t>).</w:t>
      </w:r>
    </w:p>
    <w:p w14:paraId="1175EE3C" w14:textId="77777777" w:rsidR="0039721F" w:rsidRDefault="00000000">
      <w:pPr>
        <w:pStyle w:val="Heading1"/>
      </w:pPr>
      <w:r>
        <w:t>29. Deployment Architecture</w:t>
      </w:r>
    </w:p>
    <w:p w14:paraId="74411EA7" w14:textId="77777777" w:rsidR="0039721F" w:rsidRDefault="00000000">
      <w:r>
        <w:t xml:space="preserve">Live (Step 8 of the build plan, Section 39, complete): frontend on </w:t>
      </w:r>
      <w:r>
        <w:rPr>
          <w:b/>
        </w:rPr>
        <w:t>Vercel</w:t>
      </w:r>
      <w:r>
        <w:t xml:space="preserve"> at </w:t>
      </w:r>
      <w:r>
        <w:rPr>
          <w:rFonts w:ascii="Consolas" w:hAnsi="Consolas"/>
          <w:color w:val="8A2B2B"/>
          <w:sz w:val="19"/>
        </w:rPr>
        <w:t>https://eta-liard-nine.vercel.app/</w:t>
      </w:r>
      <w:r>
        <w:t xml:space="preserve">; backend on </w:t>
      </w:r>
      <w:r>
        <w:rPr>
          <w:b/>
        </w:rPr>
        <w:t>Railway</w:t>
      </w:r>
      <w:r>
        <w:t xml:space="preserve"> (Docker, port 8000); Postgres+PostGIS on </w:t>
      </w:r>
      <w:r>
        <w:rPr>
          <w:b/>
        </w:rPr>
        <w:t>Supabase</w:t>
      </w:r>
      <w:r>
        <w:t xml:space="preserve"> (session-pooler connection, free tier); Redis on </w:t>
      </w:r>
      <w:r>
        <w:rPr>
          <w:b/>
        </w:rPr>
        <w:t>Upstash</w:t>
      </w:r>
      <w:r>
        <w:t xml:space="preserve"> (TLS, fail-open, the cache layer degrades to no-caching rather than erroring if briefly unreachable). No backend code changes were needed to move from Docker Compose to this stack (</w:t>
      </w:r>
      <w:r>
        <w:rPr>
          <w:rFonts w:ascii="Consolas" w:hAnsi="Consolas"/>
          <w:color w:val="8A2B2B"/>
          <w:sz w:val="19"/>
        </w:rPr>
        <w:t>DATABASE_URL</w:t>
      </w:r>
      <w:r>
        <w:t xml:space="preserve">/</w:t>
      </w:r>
      <w:r>
        <w:rPr>
          <w:rFonts w:ascii="Consolas" w:hAnsi="Consolas"/>
          <w:color w:val="8A2B2B"/>
          <w:sz w:val="19"/>
        </w:rPr>
        <w:t>REDIS_URL</w:t>
      </w:r>
      <w:r>
        <w:t xml:space="preserve"> are read from </w:t>
      </w:r>
      <w:r>
        <w:rPr>
          <w:rFonts w:ascii="Consolas" w:hAnsi="Consolas"/>
          <w:color w:val="8A2B2B"/>
          <w:sz w:val="19"/>
        </w:rPr>
        <w:t>app/core/config.py</w:t>
      </w:r>
      <w:r>
        <w:t xml:space="preserve">). Full step-by-step deploy instructions, cost notes, and the free-tier gotchas (the Supabase free-tier 7-day auto-pause on zero DB activity, the session-pooler-vs-transaction-pooler port distinction) are in </w:t>
      </w:r>
      <w:r>
        <w:rPr>
          <w:rFonts w:ascii="Consolas" w:hAnsi="Consolas"/>
          <w:color w:val="8A2B2B"/>
          <w:sz w:val="19"/>
        </w:rPr>
        <w:t>docs/DEPLOY.md</w:t>
      </w:r>
      <w:r>
        <w:t xml:space="preserve">. Environment variables still map 1:1 from </w:t>
      </w:r>
      <w:r>
        <w:rPr>
          <w:rFonts w:ascii="Consolas" w:hAnsi="Consolas"/>
          <w:color w:val="8A2B2B"/>
          <w:sz w:val="19"/>
        </w:rPr>
        <w:t>.env.example</w:t>
      </w:r>
      <w:r>
        <w:t xml:space="preserve"> to each platform's secret store. Locally, the full stack is </w:t>
      </w:r>
      <w:r>
        <w:rPr>
          <w:rFonts w:ascii="Consolas" w:hAnsi="Consolas"/>
          <w:color w:val="8A2B2B"/>
          <w:sz w:val="19"/>
        </w:rPr>
        <w:t>docker compose up -d</w:t>
      </w:r>
      <w:r>
        <w:t xml:space="preserve"> (PostGIS on host port 5433, Redis on 6379) plus </w:t>
      </w:r>
      <w:r>
        <w:rPr>
          <w:rFonts w:ascii="Consolas" w:hAnsi="Consolas"/>
          <w:color w:val="8A2B2B"/>
          <w:sz w:val="19"/>
        </w:rPr>
        <w:t>uvicorn</w:t>
      </w:r>
      <w:r>
        <w:t xml:space="preserve"> for the backend and </w:t>
      </w:r>
      <w:r>
        <w:rPr>
          <w:rFonts w:ascii="Consolas" w:hAnsi="Consolas"/>
          <w:color w:val="8A2B2B"/>
          <w:sz w:val="19"/>
        </w:rPr>
        <w:t>npm run dev</w:t>
      </w:r>
      <w:r>
        <w:t xml:space="preserve"> for the frontend — a four‑command bootstrap documented end‑to‑end in </w:t>
      </w:r>
      <w:r>
        <w:rPr>
          <w:rFonts w:ascii="Consolas" w:hAnsi="Consolas"/>
          <w:color w:val="8A2B2B"/>
          <w:sz w:val="19"/>
        </w:rPr>
        <w:t>docs/TEAM_SETUP.md</w:t>
      </w:r>
      <w:r>
        <w:t xml:space="preserve">, including the two "hard‑won" traps most likely to cost a new teammate time (a native Postgres shadowing port 5432, and URL‑encoding special characters in </w:t>
      </w:r>
      <w:r>
        <w:rPr>
          <w:rFonts w:ascii="Consolas" w:hAnsi="Consolas"/>
          <w:color w:val="8A2B2B"/>
          <w:sz w:val="19"/>
        </w:rPr>
        <w:t>DATABASE_URL</w:t>
      </w:r>
      <w:r>
        <w:t>).</w:t>
      </w:r>
    </w:p>
    <w:p w14:paraId="0141E8FA" w14:textId="77777777" w:rsidR="0039721F" w:rsidRDefault="00000000">
      <w:pPr>
        <w:pStyle w:val="Heading1"/>
      </w:pPr>
      <w:r>
        <w:t>30. Workflow and Process Flow</w:t>
      </w:r>
    </w:p>
    <w:p w14:paraId="58937F7B" w14:textId="77777777" w:rsidR="0039721F" w:rsidRDefault="00000000">
      <w:r>
        <w:rPr>
          <w:b/>
        </w:rPr>
        <w:t>Operator‑facing loop (recurring, hourly, unattended):</w:t>
      </w:r>
      <w:r>
        <w:t xml:space="preserve"> ingest → materialize grid → rebuild trailing cubes → (on request) roll out forecast → (on anomaly) run agents → (always) serve advisory.</w:t>
      </w:r>
    </w:p>
    <w:p w14:paraId="2D8E8886" w14:textId="77777777" w:rsidR="0039721F" w:rsidRDefault="00000000">
      <w:r>
        <w:rPr>
          <w:b/>
        </w:rPr>
        <w:t>Administrator‑facing loop (Section 21, the loop the brief calls "signal to intervention"):</w:t>
      </w:r>
    </w:p>
    <w:p w14:paraId="50183EC4" w14:textId="77777777" w:rsidR="0039721F" w:rsidRDefault="00000000">
      <w:r>
        <w:rPr>
          <w:i/>
          <w:color w:val="606060"/>
          <w:sz w:val="18"/>
        </w:rPr>
        <w:t>[Diagram — renders visually in the published web artifact / SITEMAP-linked docs; source shown below]</w:t>
      </w:r>
    </w:p>
    <w:p w14:paraId="4D2CC6FC" w14:textId="77777777" w:rsidR="0039721F" w:rsidRDefault="00000000">
      <w:pPr>
        <w:spacing w:after="0"/>
        <w:ind w:left="360"/>
      </w:pPr>
      <w:r>
        <w:rPr>
          <w:rFonts w:ascii="Consolas" w:hAnsi="Consolas"/>
          <w:color w:val="2F2F2F"/>
          <w:sz w:val="18"/>
        </w:rPr>
        <w:t>flowchart LR</w:t>
      </w:r>
    </w:p>
    <w:p w14:paraId="49DA8CF6" w14:textId="77777777" w:rsidR="0039721F" w:rsidRDefault="00000000">
      <w:pPr>
        <w:spacing w:after="0"/>
        <w:ind w:left="360"/>
      </w:pPr>
      <w:r>
        <w:rPr>
          <w:rFonts w:ascii="Consolas" w:hAnsi="Consolas"/>
          <w:color w:val="2F2F2F"/>
          <w:sz w:val="18"/>
        </w:rPr>
        <w:t xml:space="preserve">    A[Anomaly detected\nor demo drill staged] --&gt; B[Attribution:\nsource + confidence + evidence]</w:t>
      </w:r>
    </w:p>
    <w:p w14:paraId="605E83EB" w14:textId="77777777" w:rsidR="0039721F" w:rsidRDefault="00000000">
      <w:pPr>
        <w:spacing w:after="0"/>
        <w:ind w:left="360"/>
      </w:pPr>
      <w:r>
        <w:rPr>
          <w:rFonts w:ascii="Consolas" w:hAnsi="Consolas"/>
          <w:color w:val="2F2F2F"/>
          <w:sz w:val="18"/>
        </w:rPr>
        <w:t xml:space="preserve">    B --&gt; C[Enforcement:\nranked cells + patrol route]</w:t>
      </w:r>
    </w:p>
    <w:p w14:paraId="24F7C44F" w14:textId="77777777" w:rsidR="0039721F" w:rsidRDefault="00000000">
      <w:pPr>
        <w:spacing w:after="0"/>
        <w:ind w:left="360"/>
      </w:pPr>
      <w:r>
        <w:rPr>
          <w:rFonts w:ascii="Consolas" w:hAnsi="Consolas"/>
          <w:color w:val="2F2F2F"/>
          <w:sz w:val="18"/>
        </w:rPr>
        <w:t xml:space="preserve">    C --&gt; D["Administrator marks: dispatched"]</w:t>
      </w:r>
    </w:p>
    <w:p w14:paraId="5032E0CB" w14:textId="77777777" w:rsidR="0039721F" w:rsidRDefault="00000000">
      <w:pPr>
        <w:spacing w:after="0"/>
        <w:ind w:left="360"/>
      </w:pPr>
      <w:r>
        <w:rPr>
          <w:rFonts w:ascii="Consolas" w:hAnsi="Consolas"/>
          <w:color w:val="2F2F2F"/>
          <w:sz w:val="18"/>
        </w:rPr>
        <w:t xml:space="preserve">    D --&gt; E["Field: inspected"]</w:t>
      </w:r>
    </w:p>
    <w:p w14:paraId="4AE69A45" w14:textId="77777777" w:rsidR="0039721F" w:rsidRDefault="00000000">
      <w:pPr>
        <w:spacing w:after="0"/>
        <w:ind w:left="360"/>
      </w:pPr>
      <w:r>
        <w:rPr>
          <w:rFonts w:ascii="Consolas" w:hAnsi="Consolas"/>
          <w:color w:val="2F2F2F"/>
          <w:sz w:val="18"/>
        </w:rPr>
        <w:t xml:space="preserve">    E --&gt; F["Administrator marks: closed"]</w:t>
      </w:r>
    </w:p>
    <w:p w14:paraId="0BB930B2" w14:textId="77777777" w:rsidR="0039721F" w:rsidRDefault="00000000">
      <w:pPr>
        <w:spacing w:after="0"/>
        <w:ind w:left="360"/>
      </w:pPr>
      <w:r>
        <w:rPr>
          <w:rFonts w:ascii="Consolas" w:hAnsi="Consolas"/>
          <w:color w:val="2F2F2F"/>
          <w:sz w:val="18"/>
        </w:rPr>
        <w:t xml:space="preserve">    F -.mean signal-to-dispatch minutes.-&gt; G[/agents/runs metric/]</w:t>
      </w:r>
    </w:p>
    <w:p w14:paraId="5A8DD828" w14:textId="77777777" w:rsidR="0039721F" w:rsidRDefault="00000000">
      <w:r>
        <w:rPr>
          <w:b/>
        </w:rPr>
        <w:t>Demo script (~4 minutes, as actually rehearsed — `docs/DEMO.md`):</w:t>
      </w:r>
      <w:r>
        <w:t xml:space="preserve"> (1) live digital twin — 2,805 cells coloured by IDW‑interpolated PM2.5; (2) forecast slider from +1h to +72h with the RMSE‑vs‑persistence chip visible; (3) an anomaly drill — attribution evidence and rationale, then the patrol route drawn on the map; (4) citizen advisory toggled from English to Hindi; (5) close on the architecture diagram and the one‑line </w:t>
      </w:r>
      <w:r>
        <w:rPr>
          <w:rFonts w:ascii="Consolas" w:hAnsi="Consolas"/>
          <w:color w:val="8A2B2B"/>
          <w:sz w:val="19"/>
        </w:rPr>
        <w:t>cities.py</w:t>
      </w:r>
      <w:r>
        <w:t xml:space="preserve"> entry that is the entire cost of a second city.</w:t>
      </w:r>
    </w:p>
    <w:p w14:paraId="0EAA58EA" w14:textId="77777777" w:rsidR="0039721F" w:rsidRDefault="00000000">
      <w:pPr>
        <w:pStyle w:val="Heading1"/>
      </w:pPr>
      <w:r>
        <w:t>31. Algorithms and Models</w:t>
      </w:r>
    </w:p>
    <w:p w14:paraId="3821CF71" w14:textId="77777777" w:rsidR="0039721F" w:rsidRDefault="00000000">
      <w:r>
        <w:t>Consolidated formal reference (each also introduced in context above):</w:t>
      </w:r>
    </w:p>
    <w:p w14:paraId="041FF201" w14:textId="77777777" w:rsidR="0039721F" w:rsidRDefault="00000000">
      <w:r>
        <w:rPr>
          <w:b/>
        </w:rPr>
        <w:t>Inverse Distance Weighting</w:t>
      </w:r>
      <w:r>
        <w:t xml:space="preserve"> (Section 16):</w:t>
      </w:r>
    </w:p>
    <w:p w14:paraId="5893BC92" w14:textId="77777777" w:rsidR="0039721F" w:rsidRDefault="00000000">
      <w:pPr>
        <w:spacing w:before="80" w:after="160"/>
        <w:jc w:val="center"/>
      </w:pPr>
      <w:r>
        <w:rPr>
          <w:rFonts w:ascii="Cambria Math" w:hAnsi="Cambria Math"/>
          <w:i/>
          <w:color w:val="1F3A5F"/>
          <w:sz w:val="22"/>
        </w:rPr>
        <w:t>Ẑ(x₀) = ( Σᵢ wᵢ·Zᵢ ) / ( Σᵢ wᵢ ),      wᵢ = 1 / max(d(x₀,xᵢ), 1 m)^p,      p = 2, radius = 15 km</w:t>
      </w:r>
    </w:p>
    <w:p w14:paraId="36B60D53" w14:textId="77777777" w:rsidR="0039721F" w:rsidRDefault="00000000">
      <w:r>
        <w:rPr>
          <w:b/>
        </w:rPr>
        <w:lastRenderedPageBreak/>
        <w:t>ConvLSTM gate equations</w:t>
      </w:r>
      <w:r>
        <w:t xml:space="preserve"> (Section 19), per cell, per timestep, for input x_t and previous hidden/cell state (h_(t-1), c_(t-1)):</w:t>
      </w:r>
    </w:p>
    <w:p w14:paraId="0129EC4B" w14:textId="77777777" w:rsidR="0039721F" w:rsidRDefault="00000000">
      <w:pPr>
        <w:spacing w:before="80" w:after="160"/>
        <w:jc w:val="center"/>
      </w:pPr>
      <w:r>
        <w:rPr>
          <w:rFonts w:ascii="Cambria Math" w:hAnsi="Cambria Math"/>
          <w:i/>
          <w:color w:val="1F3A5F"/>
          <w:sz w:val="22"/>
        </w:rPr>
        <w:t>i_t, f_t, o_t = sigma( Conv([x_t, h_(t-1)]) )     (input, forget, output gates)</w:t>
      </w:r>
      <w:r>
        <w:br/>
      </w:r>
      <w:r>
        <w:rPr>
          <w:rFonts w:ascii="Cambria Math" w:hAnsi="Cambria Math"/>
          <w:i/>
          <w:color w:val="1F3A5F"/>
          <w:sz w:val="22"/>
        </w:rPr>
        <w:t>g_t           = tanh( Conv([x_t, h_(t-1)]) )</w:t>
      </w:r>
      <w:r>
        <w:br/>
      </w:r>
      <w:r>
        <w:rPr>
          <w:rFonts w:ascii="Cambria Math" w:hAnsi="Cambria Math"/>
          <w:i/>
          <w:color w:val="1F3A5F"/>
          <w:sz w:val="22"/>
        </w:rPr>
        <w:t>c_t           = f_t . c_(t-1)  +  i_t . g_t</w:t>
      </w:r>
      <w:r>
        <w:br/>
      </w:r>
      <w:r>
        <w:rPr>
          <w:rFonts w:ascii="Cambria Math" w:hAnsi="Cambria Math"/>
          <w:i/>
          <w:color w:val="1F3A5F"/>
          <w:sz w:val="22"/>
        </w:rPr>
        <w:t>h_t           = o_t . tanh(c_t)</w:t>
      </w:r>
    </w:p>
    <w:p w14:paraId="405AA322" w14:textId="77777777" w:rsidR="0039721F" w:rsidRDefault="00000000">
      <w:r>
        <w:t>— identical in form to a standard LSTM cell, with every gate's affine transform replaced by a 2D convolution so spatial locality is preserved.</w:t>
      </w:r>
    </w:p>
    <w:p w14:paraId="7031176E" w14:textId="77777777" w:rsidR="0039721F" w:rsidRDefault="00000000">
      <w:r>
        <w:rPr>
          <w:b/>
        </w:rPr>
        <w:t>Evaluation metric — RMSE vs. persistence baseline</w:t>
      </w:r>
      <w:r>
        <w:t xml:space="preserve"> (Section 32), the problem brief's literal evaluation focus:</w:t>
      </w:r>
    </w:p>
    <w:p w14:paraId="265CD897" w14:textId="77777777" w:rsidR="0039721F" w:rsidRDefault="00000000">
      <w:pPr>
        <w:spacing w:before="80" w:after="160"/>
        <w:jc w:val="center"/>
      </w:pPr>
      <w:r>
        <w:rPr>
          <w:rFonts w:ascii="Cambria Math" w:hAnsi="Cambria Math"/>
          <w:i/>
          <w:color w:val="1F3A5F"/>
          <w:sz w:val="22"/>
        </w:rPr>
        <w:t>RMSE = sqrt( (1/n) . Σᵢ₌₁ⁿ (yᵢ - ŷᵢ)² ),      ŷᵢ(persistence) = yᵢ(same cell, previous observation)</w:t>
      </w:r>
    </w:p>
    <w:p w14:paraId="52EDD59F" w14:textId="77777777" w:rsidR="0039721F" w:rsidRDefault="00000000">
      <w:r>
        <w:rPr>
          <w:b/>
        </w:rPr>
        <w:t>Attribution scoring</w:t>
      </w:r>
      <w:r>
        <w:t xml:space="preserve"> and </w:t>
      </w:r>
      <w:r>
        <w:rPr>
          <w:b/>
        </w:rPr>
        <w:t>enforcement priority</w:t>
      </w:r>
      <w:r>
        <w:t xml:space="preserve"> — see the worked formulas in Sections 20 and 21 respectively.</w:t>
      </w:r>
    </w:p>
    <w:p w14:paraId="09291A85" w14:textId="77777777" w:rsidR="0039721F" w:rsidRDefault="00000000">
      <w:r>
        <w:rPr>
          <w:b/>
        </w:rPr>
        <w:t>Model summary table:</w:t>
      </w:r>
    </w:p>
    <w:tbl>
      <w:tblPr>
        <w:tblStyle w:val="TableGrid"/>
        <w:tblW w:w="0" w:type="auto"/>
        <w:jc w:val="center"/>
        <w:tblLook w:val="04A0" w:firstRow="1" w:lastRow="0" w:firstColumn="1" w:lastColumn="0" w:noHBand="0" w:noVBand="1"/>
      </w:tblPr>
      <w:tblGrid>
        <w:gridCol w:w="3216"/>
        <w:gridCol w:w="3216"/>
        <w:gridCol w:w="3216"/>
      </w:tblGrid>
      <w:tr w:rsidR="0039721F" w14:paraId="4DDEF418" w14:textId="77777777">
        <w:trPr>
          <w:jc w:val="center"/>
        </w:trPr>
        <w:tc>
          <w:tcPr>
            <w:tcW w:w="3216" w:type="dxa"/>
            <w:shd w:val="clear" w:color="auto" w:fill="E4DEFF"/>
          </w:tcPr>
          <w:p w14:paraId="08EB070F" w14:textId="77777777" w:rsidR="0039721F" w:rsidRDefault="00000000">
            <w:pPr>
              <w:spacing w:after="40"/>
            </w:pPr>
            <w:r>
              <w:rPr>
                <w:b/>
                <w:sz w:val="18"/>
              </w:rPr>
              <w:t>Model</w:t>
            </w:r>
          </w:p>
        </w:tc>
        <w:tc>
          <w:tcPr>
            <w:tcW w:w="3216" w:type="dxa"/>
            <w:shd w:val="clear" w:color="auto" w:fill="E4DEFF"/>
          </w:tcPr>
          <w:p w14:paraId="3B7A7A67" w14:textId="77777777" w:rsidR="0039721F" w:rsidRDefault="00000000">
            <w:pPr>
              <w:spacing w:after="40"/>
            </w:pPr>
            <w:r>
              <w:rPr>
                <w:b/>
                <w:sz w:val="18"/>
              </w:rPr>
              <w:t>Task</w:t>
            </w:r>
          </w:p>
        </w:tc>
        <w:tc>
          <w:tcPr>
            <w:tcW w:w="3216" w:type="dxa"/>
            <w:shd w:val="clear" w:color="auto" w:fill="E4DEFF"/>
          </w:tcPr>
          <w:p w14:paraId="64B6A4D9" w14:textId="77777777" w:rsidR="0039721F" w:rsidRDefault="00000000">
            <w:pPr>
              <w:spacing w:after="40"/>
            </w:pPr>
            <w:r>
              <w:rPr>
                <w:b/>
                <w:sz w:val="18"/>
              </w:rPr>
              <w:t>Where</w:t>
            </w:r>
          </w:p>
        </w:tc>
      </w:tr>
      <w:tr w:rsidR="0039721F" w14:paraId="306B9D22" w14:textId="77777777">
        <w:trPr>
          <w:jc w:val="center"/>
        </w:trPr>
        <w:tc>
          <w:tcPr>
            <w:tcW w:w="3216" w:type="dxa"/>
          </w:tcPr>
          <w:p w14:paraId="7D471FB2" w14:textId="77777777" w:rsidR="0039721F" w:rsidRDefault="00000000">
            <w:pPr>
              <w:spacing w:after="40"/>
            </w:pPr>
            <w:r>
              <w:rPr>
                <w:sz w:val="18"/>
              </w:rPr>
              <w:t>Inverse Distance Weighting (p=2)</w:t>
            </w:r>
          </w:p>
        </w:tc>
        <w:tc>
          <w:tcPr>
            <w:tcW w:w="3216" w:type="dxa"/>
          </w:tcPr>
          <w:p w14:paraId="2C97EDD8" w14:textId="77777777" w:rsidR="0039721F" w:rsidRDefault="00000000">
            <w:pPr>
              <w:spacing w:after="40"/>
            </w:pPr>
            <w:r>
              <w:rPr>
                <w:sz w:val="18"/>
              </w:rPr>
              <w:t>Point‑sensor → grid interpolation</w:t>
            </w:r>
          </w:p>
        </w:tc>
        <w:tc>
          <w:tcPr>
            <w:tcW w:w="3216" w:type="dxa"/>
          </w:tcPr>
          <w:p w14:paraId="5B8C4CD0" w14:textId="77777777" w:rsidR="0039721F" w:rsidRDefault="00000000">
            <w:pPr>
              <w:spacing w:after="40"/>
            </w:pPr>
            <w:r>
              <w:rPr>
                <w:rFonts w:ascii="Consolas" w:hAnsi="Consolas"/>
                <w:color w:val="8A2B2B"/>
                <w:sz w:val="18"/>
              </w:rPr>
              <w:t>app/geospatial/idw.py</w:t>
            </w:r>
          </w:p>
        </w:tc>
      </w:tr>
      <w:tr w:rsidR="0039721F" w14:paraId="04B390C2" w14:textId="77777777">
        <w:trPr>
          <w:jc w:val="center"/>
        </w:trPr>
        <w:tc>
          <w:tcPr>
            <w:tcW w:w="3216" w:type="dxa"/>
          </w:tcPr>
          <w:p w14:paraId="2B77E577" w14:textId="77777777" w:rsidR="0039721F" w:rsidRDefault="00000000">
            <w:pPr>
              <w:spacing w:after="40"/>
            </w:pPr>
            <w:r>
              <w:rPr>
                <w:sz w:val="18"/>
              </w:rPr>
              <w:t>ConvLSTM (2 layers, 32 hidden ch., 3×3 kernel)</w:t>
            </w:r>
          </w:p>
        </w:tc>
        <w:tc>
          <w:tcPr>
            <w:tcW w:w="3216" w:type="dxa"/>
          </w:tcPr>
          <w:p w14:paraId="31AABDFA" w14:textId="77777777" w:rsidR="0039721F" w:rsidRDefault="00000000">
            <w:pPr>
              <w:spacing w:after="40"/>
            </w:pPr>
            <w:r>
              <w:rPr>
                <w:sz w:val="18"/>
              </w:rPr>
              <w:t>Spatio‑temporal PM2.5 forecasting</w:t>
            </w:r>
          </w:p>
        </w:tc>
        <w:tc>
          <w:tcPr>
            <w:tcW w:w="3216" w:type="dxa"/>
          </w:tcPr>
          <w:p w14:paraId="7E46FF0D" w14:textId="77777777" w:rsidR="0039721F" w:rsidRDefault="00000000">
            <w:pPr>
              <w:spacing w:after="40"/>
            </w:pPr>
            <w:r>
              <w:rPr>
                <w:rFonts w:ascii="Consolas" w:hAnsi="Consolas"/>
                <w:color w:val="8A2B2B"/>
                <w:sz w:val="18"/>
              </w:rPr>
              <w:t>app/models/convlstm.py</w:t>
            </w:r>
          </w:p>
        </w:tc>
      </w:tr>
      <w:tr w:rsidR="0039721F" w14:paraId="61A863DF" w14:textId="77777777">
        <w:trPr>
          <w:jc w:val="center"/>
        </w:trPr>
        <w:tc>
          <w:tcPr>
            <w:tcW w:w="3216" w:type="dxa"/>
          </w:tcPr>
          <w:p w14:paraId="77C51FD7" w14:textId="77777777" w:rsidR="0039721F" w:rsidRDefault="00000000">
            <w:pPr>
              <w:spacing w:after="40"/>
            </w:pPr>
            <w:r>
              <w:rPr>
                <w:sz w:val="18"/>
              </w:rPr>
              <w:t>Deterministic evidence scoring (rule‑based)</w:t>
            </w:r>
          </w:p>
        </w:tc>
        <w:tc>
          <w:tcPr>
            <w:tcW w:w="3216" w:type="dxa"/>
          </w:tcPr>
          <w:p w14:paraId="6063723D" w14:textId="77777777" w:rsidR="0039721F" w:rsidRDefault="00000000">
            <w:pPr>
              <w:spacing w:after="40"/>
            </w:pPr>
            <w:r>
              <w:rPr>
                <w:sz w:val="18"/>
              </w:rPr>
              <w:t>Source attribution, patrol prioritisation</w:t>
            </w:r>
          </w:p>
        </w:tc>
        <w:tc>
          <w:tcPr>
            <w:tcW w:w="3216" w:type="dxa"/>
          </w:tcPr>
          <w:p w14:paraId="6222872B" w14:textId="77777777" w:rsidR="0039721F" w:rsidRDefault="00000000">
            <w:pPr>
              <w:spacing w:after="40"/>
            </w:pPr>
            <w:r>
              <w:rPr>
                <w:rFonts w:ascii="Consolas" w:hAnsi="Consolas"/>
                <w:color w:val="8A2B2B"/>
                <w:sz w:val="18"/>
              </w:rPr>
              <w:t>app/agents/graph.py</w:t>
            </w:r>
          </w:p>
        </w:tc>
      </w:tr>
      <w:tr w:rsidR="0039721F" w14:paraId="51C2F615" w14:textId="77777777">
        <w:trPr>
          <w:jc w:val="center"/>
        </w:trPr>
        <w:tc>
          <w:tcPr>
            <w:tcW w:w="3216" w:type="dxa"/>
          </w:tcPr>
          <w:p w14:paraId="140C4765" w14:textId="77777777" w:rsidR="0039721F" w:rsidRDefault="00000000">
            <w:pPr>
              <w:spacing w:after="40"/>
            </w:pPr>
            <w:r>
              <w:rPr>
                <w:sz w:val="18"/>
              </w:rPr>
              <w:t xml:space="preserve">LLM (Groq </w:t>
            </w:r>
            <w:r>
              <w:rPr>
                <w:rFonts w:ascii="Consolas" w:hAnsi="Consolas"/>
                <w:color w:val="8A2B2B"/>
                <w:sz w:val="18"/>
              </w:rPr>
              <w:t>llama-3.3-70b-versatile</w:t>
            </w:r>
            <w:r>
              <w:rPr>
                <w:sz w:val="18"/>
              </w:rPr>
              <w:t>, or Anthropic Claude)</w:t>
            </w:r>
          </w:p>
        </w:tc>
        <w:tc>
          <w:tcPr>
            <w:tcW w:w="3216" w:type="dxa"/>
          </w:tcPr>
          <w:p w14:paraId="361B97F4" w14:textId="77777777" w:rsidR="0039721F" w:rsidRDefault="00000000">
            <w:pPr>
              <w:spacing w:after="40"/>
            </w:pPr>
            <w:r>
              <w:rPr>
                <w:sz w:val="18"/>
              </w:rPr>
              <w:t>Natural‑language rationale generation only</w:t>
            </w:r>
          </w:p>
        </w:tc>
        <w:tc>
          <w:tcPr>
            <w:tcW w:w="3216" w:type="dxa"/>
          </w:tcPr>
          <w:p w14:paraId="5BA13033" w14:textId="77777777" w:rsidR="0039721F" w:rsidRDefault="00000000">
            <w:pPr>
              <w:spacing w:after="40"/>
            </w:pPr>
            <w:r>
              <w:rPr>
                <w:rFonts w:ascii="Consolas" w:hAnsi="Consolas"/>
                <w:color w:val="8A2B2B"/>
                <w:sz w:val="18"/>
              </w:rPr>
              <w:t>app/agents/llm.py</w:t>
            </w:r>
          </w:p>
        </w:tc>
      </w:tr>
    </w:tbl>
    <w:p w14:paraId="3F677080" w14:textId="77777777" w:rsidR="0039721F" w:rsidRDefault="0039721F">
      <w:pPr>
        <w:spacing w:after="80"/>
      </w:pPr>
    </w:p>
    <w:p w14:paraId="7E53B56A" w14:textId="77777777" w:rsidR="0039721F" w:rsidRDefault="00000000">
      <w:pPr>
        <w:pStyle w:val="Heading1"/>
      </w:pPr>
      <w:r>
        <w:t>32. Evaluation Methodology</w:t>
      </w:r>
    </w:p>
    <w:p w14:paraId="6C639852" w14:textId="77777777" w:rsidR="0039721F" w:rsidRDefault="00000000">
      <w:r>
        <w:t xml:space="preserve">Forecast evaluation follows the brief's explicit instruction — RMSE against a </w:t>
      </w:r>
      <w:r>
        <w:rPr>
          <w:b/>
        </w:rPr>
        <w:t>persistence baseline</w:t>
      </w:r>
      <w:r>
        <w:t xml:space="preserve"> (tomorrow's/next‑hour's value equals the last observed value at the same cell) — with two methodological guards that make the comparison honest rather than favourable:</w:t>
      </w:r>
    </w:p>
    <w:p w14:paraId="43D76286" w14:textId="77777777" w:rsidR="0039721F" w:rsidRDefault="00000000">
      <w:pPr>
        <w:pStyle w:val="ListNumber"/>
        <w:numPr>
          <w:ilvl w:val="0"/>
          <w:numId w:val="13"/>
        </w:numPr>
      </w:pPr>
      <w:r>
        <w:rPr>
          <w:b/>
        </w:rPr>
        <w:t>Joint masking.</w:t>
      </w:r>
      <w:r>
        <w:t xml:space="preserve"> Both the model's prediction and the persistence baseline are evaluated only over cells where *both* have a defined value (persistence is undefined where the last observed frame itself had no sensor coverage). Evaluating the model over a superset of cells persistence can't even attempt would inflate the model's apparent advantage — this is deliberately not done.</w:t>
      </w:r>
    </w:p>
    <w:p w14:paraId="38EB7556" w14:textId="77777777" w:rsidR="0039721F" w:rsidRDefault="00000000">
      <w:pPr>
        <w:pStyle w:val="ListNumber"/>
      </w:pPr>
      <w:r>
        <w:rPr>
          <w:b/>
        </w:rPr>
        <w:t>Purged chronological split.</w:t>
      </w:r>
      <w:r>
        <w:t xml:space="preserve"> Train/val/test are split by time, never shuffled, with a purge gap so adjacent, overlapping windows cannot leak across the boundary (Section 19).</w:t>
      </w:r>
    </w:p>
    <w:p w14:paraId="3C014919" w14:textId="77777777" w:rsidR="0039721F" w:rsidRDefault="00000000">
      <w:r>
        <w:rPr>
          <w:b/>
        </w:rPr>
        <w:t>Current published checkpoint metrics</w:t>
      </w:r>
      <w:r>
        <w:t xml:space="preserve"> (</w:t>
      </w:r>
      <w:r>
        <w:rPr>
          <w:rFonts w:ascii="Consolas" w:hAnsi="Consolas"/>
          <w:color w:val="8A2B2B"/>
          <w:sz w:val="19"/>
        </w:rPr>
        <w:t>backend/checkpoints/metrics_delhi-ncr*.json</w:t>
      </w:r>
      <w:r>
        <w:t xml:space="preserve">, trained 2026‑07‑19, served live at </w:t>
      </w:r>
      <w:r>
        <w:rPr>
          <w:rFonts w:ascii="Consolas" w:hAnsi="Consolas"/>
          <w:color w:val="8A2B2B"/>
          <w:sz w:val="19"/>
        </w:rPr>
        <w:t>GET /forecast/metrics</w:t>
      </w:r>
      <w:r>
        <w:t>):</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39721F" w14:paraId="34367F01" w14:textId="77777777">
        <w:trPr>
          <w:jc w:val="center"/>
        </w:trPr>
        <w:tc>
          <w:tcPr>
            <w:tcW w:w="1930" w:type="dxa"/>
            <w:shd w:val="clear" w:color="auto" w:fill="E4DEFF"/>
          </w:tcPr>
          <w:p w14:paraId="185E0A4B" w14:textId="77777777" w:rsidR="0039721F" w:rsidRDefault="00000000">
            <w:pPr>
              <w:spacing w:after="40"/>
            </w:pPr>
            <w:r>
              <w:rPr>
                <w:b/>
                <w:sz w:val="18"/>
              </w:rPr>
              <w:t>Horizon</w:t>
            </w:r>
          </w:p>
        </w:tc>
        <w:tc>
          <w:tcPr>
            <w:tcW w:w="1930" w:type="dxa"/>
            <w:shd w:val="clear" w:color="auto" w:fill="E4DEFF"/>
          </w:tcPr>
          <w:p w14:paraId="6ABD9A4A" w14:textId="77777777" w:rsidR="0039721F" w:rsidRDefault="00000000">
            <w:pPr>
              <w:spacing w:after="40"/>
            </w:pPr>
            <w:r>
              <w:rPr>
                <w:b/>
                <w:sz w:val="18"/>
              </w:rPr>
              <w:t>Test windows</w:t>
            </w:r>
          </w:p>
        </w:tc>
        <w:tc>
          <w:tcPr>
            <w:tcW w:w="1930" w:type="dxa"/>
            <w:shd w:val="clear" w:color="auto" w:fill="E4DEFF"/>
          </w:tcPr>
          <w:p w14:paraId="06D4E7D2" w14:textId="77777777" w:rsidR="0039721F" w:rsidRDefault="00000000">
            <w:pPr>
              <w:spacing w:after="40"/>
            </w:pPr>
            <w:r>
              <w:rPr>
                <w:b/>
                <w:sz w:val="18"/>
              </w:rPr>
              <w:t>Model RMSE</w:t>
            </w:r>
          </w:p>
        </w:tc>
        <w:tc>
          <w:tcPr>
            <w:tcW w:w="1930" w:type="dxa"/>
            <w:shd w:val="clear" w:color="auto" w:fill="E4DEFF"/>
          </w:tcPr>
          <w:p w14:paraId="30CE1C16" w14:textId="77777777" w:rsidR="0039721F" w:rsidRDefault="00000000">
            <w:pPr>
              <w:spacing w:after="40"/>
            </w:pPr>
            <w:r>
              <w:rPr>
                <w:b/>
                <w:sz w:val="18"/>
              </w:rPr>
              <w:t>Persistence RMSE</w:t>
            </w:r>
          </w:p>
        </w:tc>
        <w:tc>
          <w:tcPr>
            <w:tcW w:w="1930" w:type="dxa"/>
            <w:shd w:val="clear" w:color="auto" w:fill="E4DEFF"/>
          </w:tcPr>
          <w:p w14:paraId="6E1845B1" w14:textId="77777777" w:rsidR="0039721F" w:rsidRDefault="00000000">
            <w:pPr>
              <w:spacing w:after="40"/>
            </w:pPr>
            <w:r>
              <w:rPr>
                <w:b/>
                <w:sz w:val="18"/>
              </w:rPr>
              <w:t>Result</w:t>
            </w:r>
          </w:p>
        </w:tc>
      </w:tr>
      <w:tr w:rsidR="0039721F" w14:paraId="6AC43155" w14:textId="77777777">
        <w:trPr>
          <w:jc w:val="center"/>
        </w:trPr>
        <w:tc>
          <w:tcPr>
            <w:tcW w:w="1930" w:type="dxa"/>
          </w:tcPr>
          <w:p w14:paraId="29B30BD4" w14:textId="77777777" w:rsidR="0039721F" w:rsidRDefault="00000000">
            <w:pPr>
              <w:spacing w:after="40"/>
            </w:pPr>
            <w:r>
              <w:rPr>
                <w:sz w:val="18"/>
              </w:rPr>
              <w:t>1 hour</w:t>
            </w:r>
          </w:p>
        </w:tc>
        <w:tc>
          <w:tcPr>
            <w:tcW w:w="1930" w:type="dxa"/>
          </w:tcPr>
          <w:p w14:paraId="54D97BE9" w14:textId="77777777" w:rsidR="0039721F" w:rsidRDefault="00000000">
            <w:pPr>
              <w:spacing w:after="40"/>
            </w:pPr>
            <w:r>
              <w:rPr>
                <w:sz w:val="18"/>
              </w:rPr>
              <w:t>312 (of 2,157 total)</w:t>
            </w:r>
          </w:p>
        </w:tc>
        <w:tc>
          <w:tcPr>
            <w:tcW w:w="1930" w:type="dxa"/>
          </w:tcPr>
          <w:p w14:paraId="367386D1" w14:textId="77777777" w:rsidR="0039721F" w:rsidRDefault="00000000">
            <w:pPr>
              <w:spacing w:after="40"/>
            </w:pPr>
            <w:r>
              <w:rPr>
                <w:b/>
                <w:sz w:val="18"/>
              </w:rPr>
              <w:t>17.98</w:t>
            </w:r>
          </w:p>
        </w:tc>
        <w:tc>
          <w:tcPr>
            <w:tcW w:w="1930" w:type="dxa"/>
          </w:tcPr>
          <w:p w14:paraId="0907CC5B" w14:textId="77777777" w:rsidR="0039721F" w:rsidRDefault="00000000">
            <w:pPr>
              <w:spacing w:after="40"/>
            </w:pPr>
            <w:r>
              <w:rPr>
                <w:sz w:val="18"/>
              </w:rPr>
              <w:t>18.82</w:t>
            </w:r>
          </w:p>
        </w:tc>
        <w:tc>
          <w:tcPr>
            <w:tcW w:w="1930" w:type="dxa"/>
          </w:tcPr>
          <w:p w14:paraId="0B377D07" w14:textId="77777777" w:rsidR="0039721F" w:rsidRDefault="00000000">
            <w:pPr>
              <w:spacing w:after="40"/>
            </w:pPr>
            <w:r>
              <w:rPr>
                <w:sz w:val="18"/>
              </w:rPr>
              <w:t xml:space="preserve">Beats baseline by </w:t>
            </w:r>
            <w:r>
              <w:rPr>
                <w:b/>
                <w:sz w:val="18"/>
              </w:rPr>
              <w:t>4.4%</w:t>
            </w:r>
          </w:p>
        </w:tc>
      </w:tr>
      <w:tr w:rsidR="0039721F" w14:paraId="2CB0296B" w14:textId="77777777">
        <w:trPr>
          <w:jc w:val="center"/>
        </w:trPr>
        <w:tc>
          <w:tcPr>
            <w:tcW w:w="1930" w:type="dxa"/>
          </w:tcPr>
          <w:p w14:paraId="03A58823" w14:textId="77777777" w:rsidR="0039721F" w:rsidRDefault="00000000">
            <w:pPr>
              <w:spacing w:after="40"/>
            </w:pPr>
            <w:r>
              <w:rPr>
                <w:sz w:val="18"/>
              </w:rPr>
              <w:t>24 hour (direct)</w:t>
            </w:r>
          </w:p>
        </w:tc>
        <w:tc>
          <w:tcPr>
            <w:tcW w:w="1930" w:type="dxa"/>
          </w:tcPr>
          <w:p w14:paraId="00645CBE" w14:textId="77777777" w:rsidR="0039721F" w:rsidRDefault="00000000">
            <w:pPr>
              <w:spacing w:after="40"/>
            </w:pPr>
            <w:r>
              <w:rPr>
                <w:sz w:val="18"/>
              </w:rPr>
              <w:t>272 (of 2,122 total)</w:t>
            </w:r>
          </w:p>
        </w:tc>
        <w:tc>
          <w:tcPr>
            <w:tcW w:w="1930" w:type="dxa"/>
          </w:tcPr>
          <w:p w14:paraId="25469714" w14:textId="77777777" w:rsidR="0039721F" w:rsidRDefault="00000000">
            <w:pPr>
              <w:spacing w:after="40"/>
            </w:pPr>
            <w:r>
              <w:rPr>
                <w:b/>
                <w:sz w:val="18"/>
              </w:rPr>
              <w:t>31.69</w:t>
            </w:r>
          </w:p>
        </w:tc>
        <w:tc>
          <w:tcPr>
            <w:tcW w:w="1930" w:type="dxa"/>
          </w:tcPr>
          <w:p w14:paraId="201E9AA2" w14:textId="77777777" w:rsidR="0039721F" w:rsidRDefault="00000000">
            <w:pPr>
              <w:spacing w:after="40"/>
            </w:pPr>
            <w:r>
              <w:rPr>
                <w:sz w:val="18"/>
              </w:rPr>
              <w:t>32.05</w:t>
            </w:r>
          </w:p>
        </w:tc>
        <w:tc>
          <w:tcPr>
            <w:tcW w:w="1930" w:type="dxa"/>
          </w:tcPr>
          <w:p w14:paraId="511EFBD6" w14:textId="77777777" w:rsidR="0039721F" w:rsidRDefault="00000000">
            <w:pPr>
              <w:spacing w:after="40"/>
            </w:pPr>
            <w:r>
              <w:rPr>
                <w:sz w:val="18"/>
              </w:rPr>
              <w:t xml:space="preserve">Beats baseline by </w:t>
            </w:r>
            <w:r>
              <w:rPr>
                <w:b/>
                <w:sz w:val="18"/>
              </w:rPr>
              <w:t>1.1%</w:t>
            </w:r>
          </w:p>
        </w:tc>
      </w:tr>
    </w:tbl>
    <w:p w14:paraId="7D31BE31" w14:textId="77777777" w:rsidR="0039721F" w:rsidRDefault="0039721F">
      <w:pPr>
        <w:spacing w:after="80"/>
      </w:pPr>
    </w:p>
    <w:p w14:paraId="785A5336" w14:textId="77777777" w:rsidR="0039721F" w:rsidRDefault="00000000">
      <w:r>
        <w:t xml:space="preserve">This is the outcome of a documented, honest iteration, not a first‑try result: an earlier checkpoint had the 24‑hour direct model *losing* to the same‑hour‑yesterday persistence baseline (34.1 vs. 31.7), because that baseline gets the diurnal cycle "for free" and the model's input cube did not yet encode time‑of‑day at all. The fix — adding </w:t>
      </w:r>
      <w:r>
        <w:rPr>
          <w:rFonts w:ascii="Consolas" w:hAnsi="Consolas"/>
          <w:color w:val="8A2B2B"/>
          <w:sz w:val="19"/>
        </w:rPr>
        <w:t>hod_sin</w:t>
      </w:r>
      <w:r>
        <w:t>/</w:t>
      </w:r>
      <w:r>
        <w:rPr>
          <w:rFonts w:ascii="Consolas" w:hAnsi="Consolas"/>
          <w:color w:val="8A2B2B"/>
          <w:sz w:val="19"/>
        </w:rPr>
        <w:t>hod_cos</w:t>
      </w:r>
      <w:r>
        <w:t xml:space="preserve"> (hour‑of‑day, circularly encoded) as the 12th/13th cube channels, so the model can finally *see* the daily cycle it needs to beat a baseline built entirely on that cycle — closed the gap and is what the currently‑served checkpoint reflects. </w:t>
      </w:r>
      <w:r>
        <w:rPr>
          <w:rFonts w:ascii="Consolas" w:hAnsi="Consolas"/>
          <w:color w:val="8A2B2B"/>
          <w:sz w:val="19"/>
        </w:rPr>
        <w:t>docs/REMOTE_TRAINING.md</w:t>
      </w:r>
      <w:r>
        <w:t xml:space="preserve"> documents the full experiment matrix (13‑channel retrain, 24‑hour input window, residual‑target formulation) run to reach this result, in expected‑payoff order, so the next iteration is a documented next step rather than a fresh investigation.</w:t>
      </w:r>
    </w:p>
    <w:p w14:paraId="3C3730BC" w14:textId="77777777" w:rsidR="0039721F" w:rsidRDefault="00000000">
      <w:r>
        <w:rPr>
          <w:b/>
        </w:rPr>
        <w:t>Multi‑agent evaluation:</w:t>
      </w:r>
      <w:r>
        <w:t xml:space="preserve"> the brief's other named criteria — attribution accuracy against ground‑truth inventories, and enforcement quality rated by domain experts — do not yet have an automated ground‑truth comparison (no construction‑permit/industrial‑registry dataset is ingested yet, Section 37); what exists today is a fully inspectable evidence trail (every score is auditable arithmetic over real FIRMS/OSM/meteorology rows) that a domain expert *can* sanity‑check against, which is the necessary precondition for that evaluation rather than the evaluation itself.</w:t>
      </w:r>
    </w:p>
    <w:p w14:paraId="2C55685A" w14:textId="77777777" w:rsidR="0039721F" w:rsidRDefault="00000000">
      <w:r>
        <w:rPr>
          <w:b/>
        </w:rPr>
        <w:t>Automated test coverage:</w:t>
      </w:r>
      <w:r>
        <w:t xml:space="preserve"> 59 tests across 13 modules (</w:t>
      </w:r>
      <w:r>
        <w:rPr>
          <w:rFonts w:ascii="Consolas" w:hAnsi="Consolas"/>
          <w:color w:val="8A2B2B"/>
          <w:sz w:val="19"/>
        </w:rPr>
        <w:t>backend/tests/</w:t>
      </w:r>
      <w:r>
        <w:t xml:space="preserve">), covering gap‑fill interpolation math, per‑source response parsing (OpenAQ, FIRMS, Overpass, Sentinel‑5P), OData filter construction, IDW numerics, cube channel‑ordering and assembly, agent graph state transitions, dispatch‑lifecycle transitions, advisory language fallbacks, and route wiring — every external HTTP boundary mocked via </w:t>
      </w:r>
      <w:r>
        <w:rPr>
          <w:rFonts w:ascii="Consolas" w:hAnsi="Consolas"/>
          <w:color w:val="8A2B2B"/>
          <w:sz w:val="19"/>
        </w:rPr>
        <w:t>respx</w:t>
      </w:r>
      <w:r>
        <w:t>, so the suite (and any CI running it) needs no live network access or API keys.</w:t>
      </w:r>
    </w:p>
    <w:p w14:paraId="6391062E" w14:textId="77777777" w:rsidR="0039721F" w:rsidRDefault="00000000">
      <w:pPr>
        <w:pStyle w:val="Heading1"/>
      </w:pPr>
      <w:r>
        <w:t>33. Results and Expected Outcomes</w:t>
      </w:r>
    </w:p>
    <w:p w14:paraId="4DA70979" w14:textId="77777777" w:rsidR="0039721F" w:rsidRDefault="00000000">
      <w:r>
        <w:rPr>
          <w:b/>
        </w:rPr>
        <w:t>Delivered today:</w:t>
      </w:r>
      <w:r>
        <w:t xml:space="preserve"> a live Delhi NCR digital twin (2,805 cells); five real ingestion pipelines with logged run history; a trained forecaster that beats the persistence baseline at both judged horizons (Section 32); a three‑agent enforcement pipeline with persisted, dispatch‑tracked run history; a six‑language advisory endpoint; an 8‑page dashboard; 59 green tests; a second city (Mumbai) registered and ready for its own ingestion/training pass.</w:t>
      </w:r>
    </w:p>
    <w:p w14:paraId="1C233CFA" w14:textId="77777777" w:rsidR="0039721F" w:rsidRDefault="00000000">
      <w:r>
        <w:rPr>
          <w:b/>
        </w:rPr>
        <w:t>Expected outcome if extended toward production</w:t>
      </w:r>
      <w:r>
        <w:t xml:space="preserve"> (explicitly framed as expectation, not a measured result): reduced signal‑to‑intervention time versus the status quo (today largely manual attribution and ad‑hoc dispatch), measured directly by the </w:t>
      </w:r>
      <w:r>
        <w:rPr>
          <w:rFonts w:ascii="Consolas" w:hAnsi="Consolas"/>
          <w:color w:val="8A2B2B"/>
          <w:sz w:val="19"/>
        </w:rPr>
        <w:t>mean_signal_to_dispatch_minutes</w:t>
      </w:r>
      <w:r>
        <w:t xml:space="preserve"> field this platform already instruments; ward‑level advisory targeting that reaches vulnerable populations (schools, hospitals, outdoor workers) more precisely than a city‑wide bulletin; and a reusable onboarding pattern (Section 28) that could bring the four other cities named in the problem brief — Mumbai, Kolkata, Bengaluru, Chennai — onto the same platform without re‑architecting it city by city.</w:t>
      </w:r>
    </w:p>
    <w:p w14:paraId="0EE70A61" w14:textId="77777777" w:rsidR="0039721F" w:rsidRDefault="00000000">
      <w:pPr>
        <w:pStyle w:val="Heading1"/>
      </w:pPr>
      <w:r>
        <w:t>34. Innovation and Novel Contributions</w:t>
      </w:r>
    </w:p>
    <w:p w14:paraId="5085F09F" w14:textId="77777777" w:rsidR="0039721F" w:rsidRDefault="00000000">
      <w:pPr>
        <w:pStyle w:val="ListNumber"/>
        <w:numPr>
          <w:ilvl w:val="0"/>
          <w:numId w:val="14"/>
        </w:numPr>
      </w:pPr>
      <w:r>
        <w:rPr>
          <w:b/>
        </w:rPr>
        <w:t>Closing the loop, not just monitoring.</w:t>
      </w:r>
      <w:r>
        <w:t xml:space="preserve"> Most AQI tooling available to Indian cities today stops at "here is the current/forecast reading" (Section 5). This platform's specific contribution is chaining forecast → attribution → enforcement → advisory through one shared spatial index, so an administrator gets a *prescriptive* answer, not just a descriptive one.</w:t>
      </w:r>
    </w:p>
    <w:p w14:paraId="3D6CE53E" w14:textId="77777777" w:rsidR="0039721F" w:rsidRDefault="00000000">
      <w:pPr>
        <w:pStyle w:val="ListNumber"/>
      </w:pPr>
      <w:r>
        <w:rPr>
          <w:b/>
        </w:rPr>
        <w:t>Deterministic‑first, LLM‑second agent design.</w:t>
      </w:r>
      <w:r>
        <w:t xml:space="preserve"> Source attribution and enforcement priority are computed by auditable arithmetic over real evidence; the LLM's role is constrained to rendering that arithmetic as prose, with a script‑correct deterministic fallback for every LLM call. This is a deliberate rejection of "ask the LLM to decide" in favour of "ask the LLM to explain a decision that is already correct without it" — a meaningfully more defensible design for a public‑sector enforcement recommendation.</w:t>
      </w:r>
    </w:p>
    <w:p w14:paraId="15A3616E" w14:textId="77777777" w:rsidR="0039721F" w:rsidRDefault="00000000">
      <w:pPr>
        <w:pStyle w:val="ListNumber"/>
      </w:pPr>
      <w:r>
        <w:rPr>
          <w:b/>
        </w:rPr>
        <w:t>An instrumented answer to the brief's own judging language.</w:t>
      </w:r>
      <w:r>
        <w:t xml:space="preserve"> The brief asks for "demonstrated reduction in response time from signal to intervention" — this platform is the only layer that actually stamps </w:t>
      </w:r>
      <w:r>
        <w:lastRenderedPageBreak/>
        <w:t>and reports that interval per run (</w:t>
      </w:r>
      <w:r>
        <w:rPr>
          <w:rFonts w:ascii="Consolas" w:hAnsi="Consolas"/>
          <w:color w:val="8A2B2B"/>
          <w:sz w:val="19"/>
        </w:rPr>
        <w:t>signal_to_dispatch_minutes</w:t>
      </w:r>
      <w:r>
        <w:t>), rather than asserting the reduction qualitatively.</w:t>
      </w:r>
    </w:p>
    <w:p w14:paraId="37DD6DA3" w14:textId="77777777" w:rsidR="0039721F" w:rsidRDefault="00000000">
      <w:pPr>
        <w:pStyle w:val="ListNumber"/>
      </w:pPr>
      <w:r>
        <w:rPr>
          <w:b/>
        </w:rPr>
        <w:t>Honest evaluation as a design principle, not a caveat.</w:t>
      </w:r>
      <w:r>
        <w:t xml:space="preserve"> The joint‑masking and purged‑split discipline (Section 32), and the documented correction of an earlier evaluation artifact (the 24h "win" that turned out to be inflated by a mean‑filled persistence baseline, subsequently fixed), reflect a project culture that treats an honest negative result as more valuable than a flattering but wrong one — visible throughout </w:t>
      </w:r>
      <w:r>
        <w:rPr>
          <w:rFonts w:ascii="Consolas" w:hAnsi="Consolas"/>
          <w:color w:val="8A2B2B"/>
          <w:sz w:val="19"/>
        </w:rPr>
        <w:t>docs/BUILD_PLAN.md</w:t>
      </w:r>
      <w:r>
        <w:t xml:space="preserve"> and </w:t>
      </w:r>
      <w:r>
        <w:rPr>
          <w:rFonts w:ascii="Consolas" w:hAnsi="Consolas"/>
          <w:color w:val="8A2B2B"/>
          <w:sz w:val="19"/>
        </w:rPr>
        <w:t>docs/DEMO.md</w:t>
      </w:r>
      <w:r>
        <w:t>'s "honest limitations" sections.</w:t>
      </w:r>
    </w:p>
    <w:p w14:paraId="44C3D44A" w14:textId="77777777" w:rsidR="0039721F" w:rsidRDefault="00000000">
      <w:pPr>
        <w:pStyle w:val="ListNumber"/>
      </w:pPr>
      <w:r>
        <w:rPr>
          <w:b/>
        </w:rPr>
        <w:t>Multi‑city by architecture, not roadmap slide.</w:t>
      </w:r>
      <w:r>
        <w:t xml:space="preserve"> The </w:t>
      </w:r>
      <w:r>
        <w:rPr>
          <w:rFonts w:ascii="Consolas" w:hAnsi="Consolas"/>
          <w:color w:val="8A2B2B"/>
          <w:sz w:val="19"/>
        </w:rPr>
        <w:t>city_slug</w:t>
      </w:r>
      <w:r>
        <w:t xml:space="preserve"> partitioning is load‑bearing in every table and route today, with Mumbai already registered as proof — not a claim deferred to a future refactor.</w:t>
      </w:r>
    </w:p>
    <w:p w14:paraId="27B3FF10" w14:textId="77777777" w:rsidR="0039721F" w:rsidRDefault="00000000">
      <w:pPr>
        <w:pStyle w:val="Heading1"/>
      </w:pPr>
      <w:r>
        <w:t>35. Business Impact</w:t>
      </w:r>
    </w:p>
    <w:p w14:paraId="3F4CDD08" w14:textId="77777777" w:rsidR="0039721F" w:rsidRDefault="00000000">
      <w:r>
        <w:t xml:space="preserve">The problem brief's own figures anchor the case directly: </w:t>
      </w:r>
      <w:r>
        <w:rPr>
          <w:b/>
        </w:rPr>
        <w:t>1.67 million premature deaths/year</w:t>
      </w:r>
      <w:r>
        <w:t xml:space="preserve"> attributed to air pollution in India (Lancet Planetary Health), </w:t>
      </w:r>
      <w:r>
        <w:rPr>
          <w:b/>
        </w:rPr>
        <w:t>24 of the 50 most polluted cities</w:t>
      </w:r>
      <w:r>
        <w:t xml:space="preserve"> in Tier‑1/Tier‑2 urban centres (CPCB 2024), and only </w:t>
      </w:r>
      <w:r>
        <w:rPr>
          <w:b/>
        </w:rPr>
        <w:t>31% of CAAQMS‑covered cities</w:t>
      </w:r>
      <w:r>
        <w:t xml:space="preserve"> having any actionable multi‑agency response protocol (CAG 2024 audit) — the exact gap this platform is built to close. Concretely, for a State Pollution Control Board or municipal corporation:</w:t>
      </w:r>
    </w:p>
    <w:p w14:paraId="02C85C0B" w14:textId="77777777" w:rsidR="0039721F" w:rsidRDefault="00000000">
      <w:pPr>
        <w:pStyle w:val="ListBullet"/>
      </w:pPr>
      <w:r>
        <w:rPr>
          <w:b/>
        </w:rPr>
        <w:t>Faster, evidence‑backed enforcement dispatch</w:t>
      </w:r>
      <w:r>
        <w:t xml:space="preserve"> — a ranked, geographically‑ordered patrol list with rationale, replacing manual cross‑referencing of fire maps, land‑use records, and wind data by an analyst.</w:t>
      </w:r>
    </w:p>
    <w:p w14:paraId="5B7FC732" w14:textId="77777777" w:rsidR="0039721F" w:rsidRDefault="00000000">
      <w:pPr>
        <w:pStyle w:val="ListBullet"/>
      </w:pPr>
      <w:r>
        <w:rPr>
          <w:b/>
        </w:rPr>
        <w:t>A defensible forecast for planning</w:t>
      </w:r>
      <w:r>
        <w:t xml:space="preserve"> — RMSE reported against a named baseline (Section 32), suitable for citing in a compliance or NCAP progress report rather than an unverified vendor claim.</w:t>
      </w:r>
    </w:p>
    <w:p w14:paraId="5009A1A8" w14:textId="77777777" w:rsidR="0039721F" w:rsidRDefault="00000000">
      <w:pPr>
        <w:pStyle w:val="ListBullet"/>
      </w:pPr>
      <w:r>
        <w:rPr>
          <w:b/>
        </w:rPr>
        <w:t>A reusable platform, not a single‑city pilot</w:t>
      </w:r>
      <w:r>
        <w:t xml:space="preserve"> — the </w:t>
      </w:r>
      <w:r>
        <w:rPr>
          <w:rFonts w:ascii="Consolas" w:hAnsi="Consolas"/>
          <w:color w:val="8A2B2B"/>
          <w:sz w:val="19"/>
        </w:rPr>
        <w:t>city_slug</w:t>
      </w:r>
      <w:r>
        <w:t xml:space="preserve"> architecture (Section 28) means the marginal cost of a second, third, and fourth city is training compute and ingestion time, not a new procurement.</w:t>
      </w:r>
    </w:p>
    <w:p w14:paraId="1C8B885E" w14:textId="77777777" w:rsidR="0039721F" w:rsidRDefault="00000000">
      <w:pPr>
        <w:pStyle w:val="ListBullet"/>
      </w:pPr>
      <w:r>
        <w:rPr>
          <w:b/>
        </w:rPr>
        <w:t>A citizen‑facing channel already built for India's linguistic diversity</w:t>
      </w:r>
      <w:r>
        <w:t xml:space="preserve"> — six languages live today, directly answering the brief's Kannada/Tamil ask, generalisable to any city rather than hardcoded per metro.</w:t>
      </w:r>
    </w:p>
    <w:p w14:paraId="2FFB4BED" w14:textId="77777777" w:rsidR="0039721F" w:rsidRDefault="00000000">
      <w:pPr>
        <w:pStyle w:val="ListBullet"/>
      </w:pPr>
      <w:r>
        <w:rPr>
          <w:b/>
        </w:rPr>
        <w:t>Near‑zero incremental data‑licensing cost</w:t>
      </w:r>
      <w:r>
        <w:t xml:space="preserve"> — every ingested source (OpenAQ, NASA FIRMS, Open‑Meteo, OSM, Copernicus CDSE) is free and public; the platform's cost profile is compute and (optional) LLM API usage, not data acquisition (Section 42).</w:t>
      </w:r>
    </w:p>
    <w:p w14:paraId="569C8B67" w14:textId="77777777" w:rsidR="0039721F" w:rsidRDefault="00000000">
      <w:pPr>
        <w:pStyle w:val="Heading1"/>
      </w:pPr>
      <w:r>
        <w:t>36. Social and Environmental Impact</w:t>
      </w:r>
    </w:p>
    <w:p w14:paraId="4E9CD31F" w14:textId="77777777" w:rsidR="0039721F" w:rsidRDefault="00000000">
      <w:r>
        <w:t>The platform's most direct social‑impact surface is the citizen advisory (Section 22): plain‑language, script‑correct health guidance for the general public, explicitly including the "sensitive groups (children, elderly, respiratory patients)" framing the problem brief calls out. Environmentally, better‑targeted enforcement — patrols weighted by *population exposure* (residential density) rather than raw pollutant magnitude alone (Section 21) — directs a scarce resource (inspector time) toward the intervention with the largest expected reduction in *exposed* pollution, not merely the highest number on a sensor. The documented next step of a vulnerability overlay (schools, hospitals, outdoor‑worker zones — Section 38) would sharpen this further, directing both advisories and enforcement toward the populations the problem brief specifically names as most at risk.</w:t>
      </w:r>
    </w:p>
    <w:p w14:paraId="715C2AE5" w14:textId="77777777" w:rsidR="0039721F" w:rsidRDefault="00000000">
      <w:pPr>
        <w:pStyle w:val="Heading1"/>
      </w:pPr>
      <w:r>
        <w:t>37. Challenges and Limitations</w:t>
      </w:r>
    </w:p>
    <w:p w14:paraId="77E67CD6" w14:textId="77777777" w:rsidR="0039721F" w:rsidRDefault="00000000">
      <w:r>
        <w:t>Stated candidly, matching the project's own internal "honest limitations" documentation (</w:t>
      </w:r>
      <w:r>
        <w:rPr>
          <w:rFonts w:ascii="Consolas" w:hAnsi="Consolas"/>
          <w:color w:val="8A2B2B"/>
          <w:sz w:val="19"/>
        </w:rPr>
        <w:t>docs/DEMO.md</w:t>
      </w:r>
      <w:r>
        <w:t>):</w:t>
      </w:r>
    </w:p>
    <w:p w14:paraId="60502270" w14:textId="77777777" w:rsidR="0039721F" w:rsidRDefault="00000000">
      <w:pPr>
        <w:pStyle w:val="ListBullet"/>
      </w:pPr>
      <w:r>
        <w:rPr>
          <w:b/>
        </w:rPr>
        <w:t>Sentinel‑5P is catalog‑ingested only.</w:t>
      </w:r>
      <w:r>
        <w:t xml:space="preserve"> Raster download and regridding onto the 1&amp;nbsp;km grid (the NO2 channel's intended source) is a documented, not‑yet‑built slot; the channel is currently filled by the ground‑sensor proxy and explicitly NaN‑flagged wherever genuinely unavailable — never silently zero‑filled.</w:t>
      </w:r>
    </w:p>
    <w:p w14:paraId="7D4616E6" w14:textId="77777777" w:rsidR="0039721F" w:rsidRDefault="00000000">
      <w:pPr>
        <w:pStyle w:val="ListBullet"/>
      </w:pPr>
      <w:r>
        <w:rPr>
          <w:b/>
        </w:rPr>
        <w:lastRenderedPageBreak/>
        <w:t>Patrol routing is nearest‑neighbour over centroids, not road‑network‑aware.</w:t>
      </w:r>
      <w:r>
        <w:t xml:space="preserve"> An OSRM (or equivalent) shortest‑path integration is the documented upgrade; today's route is a real, geographically ordered plan but not a drivable itinerary.</w:t>
      </w:r>
    </w:p>
    <w:p w14:paraId="04E96B32" w14:textId="77777777" w:rsidR="0039721F" w:rsidRDefault="00000000">
      <w:pPr>
        <w:pStyle w:val="ListBullet"/>
      </w:pPr>
      <w:r>
        <w:rPr>
          <w:b/>
        </w:rPr>
        <w:t>The July 2026 demo window is monsoon season</w:t>
      </w:r>
      <w:r>
        <w:t xml:space="preserve"> — verified live, there are zero real fires near Delhi at this time of year, so the platform's fire‑attribution path is demonstrated via the honestly‑flagged synthetic drill rather than an organic detection. This is a seasonality fact about the *demo*, not a gap in the ingestion pipeline itself (the FIRMS puller runs unconditionally and would pick up real detections the moment they occur, e.g. during the October–November stubble‑burning season).</w:t>
      </w:r>
    </w:p>
    <w:p w14:paraId="09C21789" w14:textId="77777777" w:rsidR="0039721F" w:rsidRDefault="00000000">
      <w:pPr>
        <w:pStyle w:val="ListBullet"/>
      </w:pPr>
      <w:r>
        <w:rPr>
          <w:b/>
        </w:rPr>
        <w:t>No construction‑permit or industrial‑registry ingestion yet</w:t>
      </w:r>
      <w:r>
        <w:t>, so attribution accuracy cannot yet be benchmarked against a ground‑truth emission inventory (one of the brief's named evaluation foci) — the evidence trail exists and is inspectable, but the comparison dataset does not yet exist in the pipeline.</w:t>
      </w:r>
    </w:p>
    <w:p w14:paraId="760DA959" w14:textId="77777777" w:rsidR="0039721F" w:rsidRDefault="00000000">
      <w:pPr>
        <w:pStyle w:val="ListBullet"/>
      </w:pPr>
      <w:r>
        <w:rPr>
          <w:b/>
        </w:rPr>
        <w:t>No authentication layer</w:t>
      </w:r>
      <w:r>
        <w:t xml:space="preserve"> on any route (Section 27) — acceptable for a judged prototype, not for a production deployment.</w:t>
      </w:r>
    </w:p>
    <w:p w14:paraId="0526BF96" w14:textId="77777777" w:rsidR="0039721F" w:rsidRDefault="00000000">
      <w:pPr>
        <w:pStyle w:val="ListBullet"/>
      </w:pPr>
      <w:r>
        <w:rPr>
          <w:b/>
        </w:rPr>
        <w:t>Single‑instance scheduling</w:t>
      </w:r>
      <w:r>
        <w:t xml:space="preserve"> (APScheduler in‑process) is appropriate at the current scale; a genuinely multi‑city, high‑availability deployment would need a distributed scheduler.</w:t>
      </w:r>
    </w:p>
    <w:p w14:paraId="3A908189" w14:textId="77777777" w:rsidR="0039721F" w:rsidRDefault="00000000">
      <w:pPr>
        <w:pStyle w:val="ListBullet"/>
      </w:pPr>
      <w:r>
        <w:rPr>
          <w:b/>
        </w:rPr>
        <w:t>1‑hour persistence is a famously hard baseline to beat</w:t>
      </w:r>
      <w:r>
        <w:t xml:space="preserve"> (PM2.5 is strongly autocorrelated hour‑to‑hour) — the current 4.4% win margin at 1h is real but not large, and is reported as such rather than oversold.</w:t>
      </w:r>
    </w:p>
    <w:p w14:paraId="54C62668" w14:textId="77777777" w:rsidR="0039721F" w:rsidRDefault="00000000">
      <w:pPr>
        <w:pStyle w:val="Heading1"/>
      </w:pPr>
      <w:r>
        <w:t>38. Future Scope</w:t>
      </w:r>
    </w:p>
    <w:p w14:paraId="50BC421E" w14:textId="77777777" w:rsidR="0039721F" w:rsidRDefault="00000000">
      <w:r>
        <w:t>In priority order, as already tracked in the project's own build plan:</w:t>
      </w:r>
    </w:p>
    <w:p w14:paraId="614146AC" w14:textId="77777777" w:rsidR="0039721F" w:rsidRDefault="00000000">
      <w:pPr>
        <w:pStyle w:val="ListNumber"/>
        <w:numPr>
          <w:ilvl w:val="0"/>
          <w:numId w:val="15"/>
        </w:numPr>
      </w:pPr>
      <w:r>
        <w:rPr>
          <w:b/>
        </w:rPr>
        <w:t>Ward‑name mapping over grid IDs</w:t>
      </w:r>
      <w:r>
        <w:t xml:space="preserve"> — translating </w:t>
      </w:r>
      <w:r>
        <w:rPr>
          <w:rFonts w:ascii="Consolas" w:hAnsi="Consolas"/>
          <w:color w:val="8A2B2B"/>
          <w:sz w:val="19"/>
        </w:rPr>
        <w:t>grid_id</w:t>
      </w:r>
      <w:r>
        <w:t>/</w:t>
      </w:r>
      <w:r>
        <w:rPr>
          <w:rFonts w:ascii="Consolas" w:hAnsi="Consolas"/>
          <w:color w:val="8A2B2B"/>
          <w:sz w:val="19"/>
        </w:rPr>
        <w:t>row_idx</w:t>
      </w:r>
      <w:r>
        <w:t>/</w:t>
      </w:r>
      <w:r>
        <w:rPr>
          <w:rFonts w:ascii="Consolas" w:hAnsi="Consolas"/>
          <w:color w:val="8A2B2B"/>
          <w:sz w:val="19"/>
        </w:rPr>
        <w:t>col_idx</w:t>
      </w:r>
      <w:r>
        <w:t xml:space="preserve"> into administratively meaningful ward names, closing the gap between the platform's spatial index and how a city administrator actually thinks about geography.</w:t>
      </w:r>
    </w:p>
    <w:p w14:paraId="20412328" w14:textId="77777777" w:rsidR="0039721F" w:rsidRDefault="00000000">
      <w:pPr>
        <w:pStyle w:val="ListNumber"/>
      </w:pPr>
      <w:r>
        <w:rPr>
          <w:b/>
        </w:rPr>
        <w:t>A second live city (Mumbai)</w:t>
      </w:r>
      <w:r>
        <w:t xml:space="preserve"> — the bounding box is already registered; onboarding is an ingestion backfill plus a training run, the direct test of the scalability claim in Section 28.</w:t>
      </w:r>
    </w:p>
    <w:p w14:paraId="7DEE73DE" w14:textId="77777777" w:rsidR="0039721F" w:rsidRDefault="00000000">
      <w:pPr>
        <w:pStyle w:val="ListNumber"/>
      </w:pPr>
      <w:r>
        <w:rPr>
          <w:b/>
        </w:rPr>
        <w:t>Production hardening of the now-live deployment</w:t>
      </w:r>
      <w:r>
        <w:t xml:space="preserve"> (Section 29), authentication and rate limiting ahead of any real administrative use, per Section 27.</w:t>
      </w:r>
    </w:p>
    <w:p w14:paraId="3FE010A6" w14:textId="77777777" w:rsidR="0039721F" w:rsidRDefault="00000000">
      <w:pPr>
        <w:pStyle w:val="ListNumber"/>
      </w:pPr>
      <w:r>
        <w:rPr>
          <w:b/>
        </w:rPr>
        <w:t>Sentinel‑5P raster regridding</w:t>
      </w:r>
      <w:r>
        <w:t xml:space="preserve"> — HARP </w:t>
      </w:r>
      <w:r>
        <w:rPr>
          <w:rFonts w:ascii="Consolas" w:hAnsi="Consolas"/>
          <w:color w:val="8A2B2B"/>
          <w:sz w:val="19"/>
        </w:rPr>
        <w:t>bin_spatial</w:t>
      </w:r>
      <w:r>
        <w:t xml:space="preserve"> or an RBF‑regridding fallback, replacing the ground‑sensor‑proxy NO2 channel with genuine satellite‑derived NO2/SO2 columns.</w:t>
      </w:r>
    </w:p>
    <w:p w14:paraId="11EB73AB" w14:textId="77777777" w:rsidR="0039721F" w:rsidRDefault="00000000">
      <w:pPr>
        <w:pStyle w:val="ListNumber"/>
      </w:pPr>
      <w:r>
        <w:rPr>
          <w:b/>
        </w:rPr>
        <w:t>Ordinary Kriging</w:t>
      </w:r>
      <w:r>
        <w:t xml:space="preserve"> as a variance‑aware alternative to IDW, if a future city's sparser station network needs it.</w:t>
      </w:r>
    </w:p>
    <w:p w14:paraId="10C125EA" w14:textId="77777777" w:rsidR="0039721F" w:rsidRDefault="00000000">
      <w:pPr>
        <w:pStyle w:val="ListNumber"/>
      </w:pPr>
      <w:r>
        <w:rPr>
          <w:b/>
        </w:rPr>
        <w:t>Road‑network‑aware patrol routing</w:t>
      </w:r>
      <w:r>
        <w:t xml:space="preserve"> via a self‑hosted OSRM instance.</w:t>
      </w:r>
    </w:p>
    <w:p w14:paraId="5CD83DB9" w14:textId="77777777" w:rsidR="0039721F" w:rsidRDefault="00000000">
      <w:pPr>
        <w:pStyle w:val="ListNumber"/>
      </w:pPr>
      <w:r>
        <w:rPr>
          <w:b/>
        </w:rPr>
        <w:t>Construction‑permit and industrial‑registry ingestion</w:t>
      </w:r>
      <w:r>
        <w:t>, enabling the ground‑truth attribution‑accuracy benchmark the problem brief names explicitly.</w:t>
      </w:r>
    </w:p>
    <w:p w14:paraId="6EC4D97E" w14:textId="77777777" w:rsidR="0039721F" w:rsidRDefault="00000000">
      <w:pPr>
        <w:pStyle w:val="ListNumber"/>
      </w:pPr>
      <w:r>
        <w:rPr>
          <w:b/>
        </w:rPr>
        <w:t>Ward‑level vulnerability overlay</w:t>
      </w:r>
      <w:r>
        <w:t xml:space="preserve"> (schools, hospitals, outdoor‑worker zones from OSM tags already partially ingested) layered against forecast AQI, sharpening both the advisory and enforcement‑prioritisation logic toward the populations most at risk.</w:t>
      </w:r>
    </w:p>
    <w:p w14:paraId="10D89736" w14:textId="77777777" w:rsidR="0039721F" w:rsidRDefault="00000000">
      <w:pPr>
        <w:pStyle w:val="ListNumber"/>
      </w:pPr>
      <w:r>
        <w:rPr>
          <w:b/>
        </w:rPr>
        <w:t>Push‑channel delivery</w:t>
      </w:r>
      <w:r>
        <w:t xml:space="preserve"> — SMS/IVR/web‑push for the advisory endpoint, matching the brief's explicit delivery‑channel ask beyond a dashboard card.</w:t>
      </w:r>
    </w:p>
    <w:p w14:paraId="602D9D66" w14:textId="77777777" w:rsidR="0039721F" w:rsidRDefault="00000000">
      <w:pPr>
        <w:pStyle w:val="ListNumber"/>
      </w:pPr>
      <w:r>
        <w:rPr>
          <w:b/>
        </w:rPr>
        <w:t>Authentication and rate limiting</w:t>
      </w:r>
      <w:r>
        <w:t xml:space="preserve"> ahead of any real deployment (Section 27).</w:t>
      </w:r>
    </w:p>
    <w:p w14:paraId="50FC4764" w14:textId="77777777" w:rsidR="0039721F" w:rsidRDefault="00000000">
      <w:pPr>
        <w:pStyle w:val="Heading1"/>
      </w:pPr>
      <w:r>
        <w:t>39. Project Timeline</w:t>
      </w:r>
    </w:p>
    <w:p w14:paraId="794BB266" w14:textId="77777777" w:rsidR="0039721F" w:rsidRDefault="00000000">
      <w:r>
        <w:t>Actual build‑plan status (</w:t>
      </w:r>
      <w:r>
        <w:rPr>
          <w:rFonts w:ascii="Consolas" w:hAnsi="Consolas"/>
          <w:color w:val="8A2B2B"/>
          <w:sz w:val="19"/>
        </w:rPr>
        <w:t>docs/BUILD_PLAN.md</w:t>
      </w:r>
      <w:r>
        <w:t>), an 8‑step plan executed against the brief's judging weights:</w:t>
      </w:r>
    </w:p>
    <w:tbl>
      <w:tblPr>
        <w:tblStyle w:val="TableGrid"/>
        <w:tblW w:w="0" w:type="auto"/>
        <w:jc w:val="center"/>
        <w:tblLook w:val="04A0" w:firstRow="1" w:lastRow="0" w:firstColumn="1" w:lastColumn="0" w:noHBand="0" w:noVBand="1"/>
      </w:tblPr>
      <w:tblGrid>
        <w:gridCol w:w="3216"/>
        <w:gridCol w:w="3216"/>
        <w:gridCol w:w="3216"/>
      </w:tblGrid>
      <w:tr w:rsidR="0039721F" w14:paraId="4C4CAEAC" w14:textId="77777777">
        <w:trPr>
          <w:jc w:val="center"/>
        </w:trPr>
        <w:tc>
          <w:tcPr>
            <w:tcW w:w="3216" w:type="dxa"/>
            <w:shd w:val="clear" w:color="auto" w:fill="E4DEFF"/>
          </w:tcPr>
          <w:p w14:paraId="6807E28C" w14:textId="77777777" w:rsidR="0039721F" w:rsidRDefault="00000000">
            <w:pPr>
              <w:spacing w:after="40"/>
            </w:pPr>
            <w:r>
              <w:rPr>
                <w:b/>
                <w:sz w:val="18"/>
              </w:rPr>
              <w:t>Step</w:t>
            </w:r>
          </w:p>
        </w:tc>
        <w:tc>
          <w:tcPr>
            <w:tcW w:w="3216" w:type="dxa"/>
            <w:shd w:val="clear" w:color="auto" w:fill="E4DEFF"/>
          </w:tcPr>
          <w:p w14:paraId="118AF97E" w14:textId="77777777" w:rsidR="0039721F" w:rsidRDefault="00000000">
            <w:pPr>
              <w:spacing w:after="40"/>
            </w:pPr>
            <w:r>
              <w:rPr>
                <w:b/>
                <w:sz w:val="18"/>
              </w:rPr>
              <w:t>Deliverable</w:t>
            </w:r>
          </w:p>
        </w:tc>
        <w:tc>
          <w:tcPr>
            <w:tcW w:w="3216" w:type="dxa"/>
            <w:shd w:val="clear" w:color="auto" w:fill="E4DEFF"/>
          </w:tcPr>
          <w:p w14:paraId="1B920814" w14:textId="77777777" w:rsidR="0039721F" w:rsidRDefault="00000000">
            <w:pPr>
              <w:spacing w:after="40"/>
            </w:pPr>
            <w:r>
              <w:rPr>
                <w:b/>
                <w:sz w:val="18"/>
              </w:rPr>
              <w:t>Status</w:t>
            </w:r>
          </w:p>
        </w:tc>
      </w:tr>
      <w:tr w:rsidR="0039721F" w14:paraId="2700DDF8" w14:textId="77777777">
        <w:trPr>
          <w:jc w:val="center"/>
        </w:trPr>
        <w:tc>
          <w:tcPr>
            <w:tcW w:w="3216" w:type="dxa"/>
          </w:tcPr>
          <w:p w14:paraId="34D5DA4C" w14:textId="77777777" w:rsidR="0039721F" w:rsidRDefault="00000000">
            <w:pPr>
              <w:spacing w:after="40"/>
            </w:pPr>
            <w:r>
              <w:rPr>
                <w:sz w:val="18"/>
              </w:rPr>
              <w:t>1</w:t>
            </w:r>
          </w:p>
        </w:tc>
        <w:tc>
          <w:tcPr>
            <w:tcW w:w="3216" w:type="dxa"/>
          </w:tcPr>
          <w:p w14:paraId="0B2458F9" w14:textId="77777777" w:rsidR="0039721F" w:rsidRDefault="00000000">
            <w:pPr>
              <w:spacing w:after="40"/>
            </w:pPr>
            <w:r>
              <w:rPr>
                <w:sz w:val="18"/>
              </w:rPr>
              <w:t>Project setup &amp; architecture foundation</w:t>
            </w:r>
          </w:p>
        </w:tc>
        <w:tc>
          <w:tcPr>
            <w:tcW w:w="3216" w:type="dxa"/>
          </w:tcPr>
          <w:p w14:paraId="0C760740" w14:textId="77777777" w:rsidR="0039721F" w:rsidRDefault="00000000">
            <w:pPr>
              <w:spacing w:after="40"/>
            </w:pPr>
            <w:r>
              <w:rPr>
                <w:rFonts w:ascii="Segoe UI Emoji" w:hAnsi="Segoe UI Emoji" w:cs="Segoe UI Emoji"/>
                <w:sz w:val="18"/>
              </w:rPr>
              <w:t>✅</w:t>
            </w:r>
            <w:r>
              <w:rPr>
                <w:sz w:val="18"/>
              </w:rPr>
              <w:t xml:space="preserve"> Done</w:t>
            </w:r>
          </w:p>
        </w:tc>
      </w:tr>
      <w:tr w:rsidR="0039721F" w14:paraId="2B5D2C24" w14:textId="77777777">
        <w:trPr>
          <w:jc w:val="center"/>
        </w:trPr>
        <w:tc>
          <w:tcPr>
            <w:tcW w:w="3216" w:type="dxa"/>
          </w:tcPr>
          <w:p w14:paraId="67504404" w14:textId="77777777" w:rsidR="0039721F" w:rsidRDefault="00000000">
            <w:pPr>
              <w:spacing w:after="40"/>
            </w:pPr>
            <w:r>
              <w:rPr>
                <w:sz w:val="18"/>
              </w:rPr>
              <w:t>2</w:t>
            </w:r>
          </w:p>
        </w:tc>
        <w:tc>
          <w:tcPr>
            <w:tcW w:w="3216" w:type="dxa"/>
          </w:tcPr>
          <w:p w14:paraId="0D4E2DE4" w14:textId="77777777" w:rsidR="0039721F" w:rsidRDefault="00000000">
            <w:pPr>
              <w:spacing w:after="40"/>
            </w:pPr>
            <w:r>
              <w:rPr>
                <w:sz w:val="18"/>
              </w:rPr>
              <w:t>Data ingestion layer (5 pullers)</w:t>
            </w:r>
          </w:p>
        </w:tc>
        <w:tc>
          <w:tcPr>
            <w:tcW w:w="3216" w:type="dxa"/>
          </w:tcPr>
          <w:p w14:paraId="0B432E8A" w14:textId="77777777" w:rsidR="0039721F" w:rsidRDefault="00000000">
            <w:pPr>
              <w:spacing w:after="40"/>
            </w:pPr>
            <w:r>
              <w:rPr>
                <w:rFonts w:ascii="Segoe UI Emoji" w:hAnsi="Segoe UI Emoji" w:cs="Segoe UI Emoji"/>
                <w:sz w:val="18"/>
              </w:rPr>
              <w:t>✅</w:t>
            </w:r>
            <w:r>
              <w:rPr>
                <w:sz w:val="18"/>
              </w:rPr>
              <w:t xml:space="preserve"> Done — live‑verified</w:t>
            </w:r>
          </w:p>
        </w:tc>
      </w:tr>
      <w:tr w:rsidR="0039721F" w14:paraId="757ADC29" w14:textId="77777777">
        <w:trPr>
          <w:jc w:val="center"/>
        </w:trPr>
        <w:tc>
          <w:tcPr>
            <w:tcW w:w="3216" w:type="dxa"/>
          </w:tcPr>
          <w:p w14:paraId="307329E9" w14:textId="77777777" w:rsidR="0039721F" w:rsidRDefault="00000000">
            <w:pPr>
              <w:spacing w:after="40"/>
            </w:pPr>
            <w:r>
              <w:rPr>
                <w:sz w:val="18"/>
              </w:rPr>
              <w:lastRenderedPageBreak/>
              <w:t>3</w:t>
            </w:r>
          </w:p>
        </w:tc>
        <w:tc>
          <w:tcPr>
            <w:tcW w:w="3216" w:type="dxa"/>
          </w:tcPr>
          <w:p w14:paraId="4D1B9866" w14:textId="77777777" w:rsidR="0039721F" w:rsidRDefault="00000000">
            <w:pPr>
              <w:spacing w:after="40"/>
            </w:pPr>
            <w:r>
              <w:rPr>
                <w:sz w:val="18"/>
              </w:rPr>
              <w:t>Geospatial grid engine (IDW + LOO‑RMSE)</w:t>
            </w:r>
          </w:p>
        </w:tc>
        <w:tc>
          <w:tcPr>
            <w:tcW w:w="3216" w:type="dxa"/>
          </w:tcPr>
          <w:p w14:paraId="36B26935" w14:textId="77777777" w:rsidR="0039721F" w:rsidRDefault="00000000">
            <w:pPr>
              <w:spacing w:after="40"/>
            </w:pPr>
            <w:r>
              <w:rPr>
                <w:rFonts w:ascii="Segoe UI Emoji" w:hAnsi="Segoe UI Emoji" w:cs="Segoe UI Emoji"/>
                <w:sz w:val="18"/>
              </w:rPr>
              <w:t>✅</w:t>
            </w:r>
            <w:r>
              <w:rPr>
                <w:sz w:val="18"/>
              </w:rPr>
              <w:t xml:space="preserve"> Done — 2,805 cells</w:t>
            </w:r>
          </w:p>
        </w:tc>
      </w:tr>
      <w:tr w:rsidR="0039721F" w14:paraId="6C2C3223" w14:textId="77777777">
        <w:trPr>
          <w:jc w:val="center"/>
        </w:trPr>
        <w:tc>
          <w:tcPr>
            <w:tcW w:w="3216" w:type="dxa"/>
          </w:tcPr>
          <w:p w14:paraId="055CFCCC" w14:textId="77777777" w:rsidR="0039721F" w:rsidRDefault="00000000">
            <w:pPr>
              <w:spacing w:after="40"/>
            </w:pPr>
            <w:r>
              <w:rPr>
                <w:sz w:val="18"/>
              </w:rPr>
              <w:t>4</w:t>
            </w:r>
          </w:p>
        </w:tc>
        <w:tc>
          <w:tcPr>
            <w:tcW w:w="3216" w:type="dxa"/>
          </w:tcPr>
          <w:p w14:paraId="5B5AC0CD" w14:textId="77777777" w:rsidR="0039721F" w:rsidRDefault="00000000">
            <w:pPr>
              <w:spacing w:after="40"/>
            </w:pPr>
            <w:r>
              <w:rPr>
                <w:sz w:val="18"/>
              </w:rPr>
              <w:t>Feature engineering &amp; multi‑modal fusion (13‑channel cubes)</w:t>
            </w:r>
          </w:p>
        </w:tc>
        <w:tc>
          <w:tcPr>
            <w:tcW w:w="3216" w:type="dxa"/>
          </w:tcPr>
          <w:p w14:paraId="43A35622" w14:textId="77777777" w:rsidR="0039721F" w:rsidRDefault="00000000">
            <w:pPr>
              <w:spacing w:after="40"/>
            </w:pPr>
            <w:r>
              <w:rPr>
                <w:rFonts w:ascii="Segoe UI Emoji" w:hAnsi="Segoe UI Emoji" w:cs="Segoe UI Emoji"/>
                <w:sz w:val="18"/>
              </w:rPr>
              <w:t>✅</w:t>
            </w:r>
            <w:r>
              <w:rPr>
                <w:sz w:val="18"/>
              </w:rPr>
              <w:t xml:space="preserve"> Done</w:t>
            </w:r>
          </w:p>
        </w:tc>
      </w:tr>
      <w:tr w:rsidR="0039721F" w14:paraId="1AC41D2C" w14:textId="77777777">
        <w:trPr>
          <w:jc w:val="center"/>
        </w:trPr>
        <w:tc>
          <w:tcPr>
            <w:tcW w:w="3216" w:type="dxa"/>
          </w:tcPr>
          <w:p w14:paraId="768C561B" w14:textId="77777777" w:rsidR="0039721F" w:rsidRDefault="00000000">
            <w:pPr>
              <w:spacing w:after="40"/>
            </w:pPr>
            <w:r>
              <w:rPr>
                <w:sz w:val="18"/>
              </w:rPr>
              <w:t>5</w:t>
            </w:r>
          </w:p>
        </w:tc>
        <w:tc>
          <w:tcPr>
            <w:tcW w:w="3216" w:type="dxa"/>
          </w:tcPr>
          <w:p w14:paraId="00D05182" w14:textId="77777777" w:rsidR="0039721F" w:rsidRDefault="00000000">
            <w:pPr>
              <w:spacing w:after="40"/>
            </w:pPr>
            <w:r>
              <w:rPr>
                <w:sz w:val="18"/>
              </w:rPr>
              <w:t>Hyperlocal forecasting model (ConvLSTM)</w:t>
            </w:r>
          </w:p>
        </w:tc>
        <w:tc>
          <w:tcPr>
            <w:tcW w:w="3216" w:type="dxa"/>
          </w:tcPr>
          <w:p w14:paraId="52D399E7" w14:textId="77777777" w:rsidR="0039721F" w:rsidRDefault="00000000">
            <w:pPr>
              <w:spacing w:after="40"/>
            </w:pPr>
            <w:r>
              <w:rPr>
                <w:rFonts w:ascii="Segoe UI Emoji" w:hAnsi="Segoe UI Emoji" w:cs="Segoe UI Emoji"/>
                <w:sz w:val="18"/>
              </w:rPr>
              <w:t>✅</w:t>
            </w:r>
            <w:r>
              <w:rPr>
                <w:sz w:val="18"/>
              </w:rPr>
              <w:t xml:space="preserve"> Done — beats persistence at 1h and 24h</w:t>
            </w:r>
          </w:p>
        </w:tc>
      </w:tr>
      <w:tr w:rsidR="0039721F" w14:paraId="28FBD3C9" w14:textId="77777777">
        <w:trPr>
          <w:jc w:val="center"/>
        </w:trPr>
        <w:tc>
          <w:tcPr>
            <w:tcW w:w="3216" w:type="dxa"/>
          </w:tcPr>
          <w:p w14:paraId="709FCF4A" w14:textId="77777777" w:rsidR="0039721F" w:rsidRDefault="00000000">
            <w:pPr>
              <w:spacing w:after="40"/>
            </w:pPr>
            <w:r>
              <w:rPr>
                <w:sz w:val="18"/>
              </w:rPr>
              <w:t>6</w:t>
            </w:r>
          </w:p>
        </w:tc>
        <w:tc>
          <w:tcPr>
            <w:tcW w:w="3216" w:type="dxa"/>
          </w:tcPr>
          <w:p w14:paraId="3DE02D77" w14:textId="77777777" w:rsidR="0039721F" w:rsidRDefault="00000000">
            <w:pPr>
              <w:spacing w:after="40"/>
            </w:pPr>
            <w:r>
              <w:rPr>
                <w:sz w:val="18"/>
              </w:rPr>
              <w:t>Multi‑agent intelligence layer (LangGraph)</w:t>
            </w:r>
          </w:p>
        </w:tc>
        <w:tc>
          <w:tcPr>
            <w:tcW w:w="3216" w:type="dxa"/>
          </w:tcPr>
          <w:p w14:paraId="5C3CF124" w14:textId="77777777" w:rsidR="0039721F" w:rsidRDefault="00000000">
            <w:pPr>
              <w:spacing w:after="40"/>
            </w:pPr>
            <w:r>
              <w:rPr>
                <w:rFonts w:ascii="Segoe UI Emoji" w:hAnsi="Segoe UI Emoji" w:cs="Segoe UI Emoji"/>
                <w:sz w:val="18"/>
              </w:rPr>
              <w:t>✅</w:t>
            </w:r>
            <w:r>
              <w:rPr>
                <w:sz w:val="18"/>
              </w:rPr>
              <w:t xml:space="preserve"> Done — verified via synthetic drill</w:t>
            </w:r>
          </w:p>
        </w:tc>
      </w:tr>
      <w:tr w:rsidR="0039721F" w14:paraId="17C9AC4D" w14:textId="77777777">
        <w:trPr>
          <w:jc w:val="center"/>
        </w:trPr>
        <w:tc>
          <w:tcPr>
            <w:tcW w:w="3216" w:type="dxa"/>
          </w:tcPr>
          <w:p w14:paraId="5FF89A76" w14:textId="77777777" w:rsidR="0039721F" w:rsidRDefault="00000000">
            <w:pPr>
              <w:spacing w:after="40"/>
            </w:pPr>
            <w:r>
              <w:rPr>
                <w:sz w:val="18"/>
              </w:rPr>
              <w:t>7</w:t>
            </w:r>
          </w:p>
        </w:tc>
        <w:tc>
          <w:tcPr>
            <w:tcW w:w="3216" w:type="dxa"/>
          </w:tcPr>
          <w:p w14:paraId="5F4A95E7" w14:textId="77777777" w:rsidR="0039721F" w:rsidRDefault="00000000">
            <w:pPr>
              <w:spacing w:after="40"/>
            </w:pPr>
            <w:r>
              <w:rPr>
                <w:sz w:val="18"/>
              </w:rPr>
              <w:t>City &amp; citizen dashboard (8 routes)</w:t>
            </w:r>
          </w:p>
        </w:tc>
        <w:tc>
          <w:tcPr>
            <w:tcW w:w="3216" w:type="dxa"/>
          </w:tcPr>
          <w:p w14:paraId="4B65B47B" w14:textId="77777777" w:rsidR="0039721F" w:rsidRDefault="00000000">
            <w:pPr>
              <w:spacing w:after="40"/>
            </w:pPr>
            <w:r>
              <w:rPr>
                <w:rFonts w:ascii="Segoe UI Emoji" w:hAnsi="Segoe UI Emoji" w:cs="Segoe UI Emoji"/>
                <w:sz w:val="18"/>
              </w:rPr>
              <w:t>✅</w:t>
            </w:r>
            <w:r>
              <w:rPr>
                <w:sz w:val="18"/>
              </w:rPr>
              <w:t xml:space="preserve"> Done</w:t>
            </w:r>
          </w:p>
        </w:tc>
      </w:tr>
      <w:tr w:rsidR="0039721F" w14:paraId="00418C12" w14:textId="77777777">
        <w:trPr>
          <w:jc w:val="center"/>
        </w:trPr>
        <w:tc>
          <w:tcPr>
            <w:tcW w:w="3216" w:type="dxa"/>
          </w:tcPr>
          <w:p w14:paraId="2EE3C2BE" w14:textId="77777777" w:rsidR="0039721F" w:rsidRDefault="00000000">
            <w:pPr>
              <w:spacing w:after="40"/>
            </w:pPr>
            <w:r>
              <w:rPr>
                <w:sz w:val="18"/>
              </w:rPr>
              <w:t>8</w:t>
            </w:r>
          </w:p>
        </w:tc>
        <w:tc>
          <w:tcPr>
            <w:tcW w:w="3216" w:type="dxa"/>
          </w:tcPr>
          <w:p w14:paraId="72B2B269" w14:textId="77777777" w:rsidR="0039721F" w:rsidRDefault="00000000">
            <w:pPr>
              <w:spacing w:after="40"/>
            </w:pPr>
            <w:r>
              <w:rPr>
                <w:sz w:val="18"/>
              </w:rPr>
              <w:t>Integration, deployment &amp; demo packaging</w:t>
            </w:r>
          </w:p>
        </w:tc>
        <w:tc>
          <w:tcPr>
            <w:tcW w:w="3216" w:type="dxa"/>
          </w:tcPr>
          <w:p w14:paraId="4C73599C" w14:textId="77777777" w:rsidR="0039721F" w:rsidRDefault="00000000">
            <w:pPr>
              <w:spacing w:after="40"/>
            </w:pPr>
            <w:r>
              <w:rPr>
                <w:rFonts w:ascii="Segoe UI Emoji" w:hAnsi="Segoe UI Emoji" w:cs="Segoe UI Emoji"/>
                <w:sz w:val="18"/>
              </w:rPr>
              <w:t>✅</w:t>
            </w:r>
            <w:r>
              <w:rPr>
                <w:sz w:val="18"/>
              </w:rPr>
              <w:t xml:space="preserve"> Done, live at https://eta-liard-nine.vercel.app/ (Section 29)</w:t>
            </w:r>
          </w:p>
        </w:tc>
      </w:tr>
    </w:tbl>
    <w:p w14:paraId="6DA72C35" w14:textId="77777777" w:rsidR="0039721F" w:rsidRDefault="0039721F">
      <w:pPr>
        <w:spacing w:after="80"/>
      </w:pPr>
    </w:p>
    <w:p w14:paraId="4157EAC3" w14:textId="77777777" w:rsidR="0039721F" w:rsidRDefault="00000000">
      <w:r>
        <w:t>Forward‑looking roadmap items are enumerated in priority order in Section 38.</w:t>
      </w:r>
    </w:p>
    <w:p w14:paraId="64D6064A" w14:textId="77777777" w:rsidR="0039721F" w:rsidRDefault="00000000">
      <w:pPr>
        <w:pStyle w:val="Heading1"/>
      </w:pPr>
      <w:r>
        <w:t>40. Team Roles and Responsibilities</w:t>
      </w:r>
    </w:p>
    <w:p w14:paraId="01BC41B8" w14:textId="77777777" w:rsidR="0039721F" w:rsidRDefault="00000000">
      <w:r>
        <w:t>Team: Madhav, Varun, Adamya, Prakhar. Responsibilities were shared across the team rather than owned individually by function; the functional areas the build required were:</w:t>
      </w:r>
    </w:p>
    <w:tbl>
      <w:tblPr>
        <w:tblStyle w:val="TableGrid"/>
        <w:tblW w:w="0" w:type="auto"/>
        <w:jc w:val="center"/>
        <w:tblLook w:val="04A0" w:firstRow="1" w:lastRow="0" w:firstColumn="1" w:lastColumn="0" w:noHBand="0" w:noVBand="1"/>
      </w:tblPr>
      <w:tblGrid>
        <w:gridCol w:w="4824"/>
        <w:gridCol w:w="4824"/>
      </w:tblGrid>
      <w:tr w:rsidR="0039721F" w14:paraId="598BC2E8" w14:textId="77777777">
        <w:trPr>
          <w:jc w:val="center"/>
        </w:trPr>
        <w:tc>
          <w:tcPr>
            <w:tcW w:w="4824" w:type="dxa"/>
            <w:shd w:val="clear" w:color="auto" w:fill="E4DEFF"/>
          </w:tcPr>
          <w:p w14:paraId="2E31D47C" w14:textId="77777777" w:rsidR="0039721F" w:rsidRDefault="00000000">
            <w:pPr>
              <w:spacing w:after="40"/>
            </w:pPr>
            <w:r>
              <w:rPr>
                <w:b/>
                <w:sz w:val="18"/>
              </w:rPr>
              <w:t>Functional area</w:t>
            </w:r>
          </w:p>
        </w:tc>
        <w:tc>
          <w:tcPr>
            <w:tcW w:w="4824" w:type="dxa"/>
            <w:shd w:val="clear" w:color="auto" w:fill="E4DEFF"/>
          </w:tcPr>
          <w:p w14:paraId="48B16C12" w14:textId="77777777" w:rsidR="0039721F" w:rsidRDefault="00000000">
            <w:pPr>
              <w:spacing w:after="40"/>
            </w:pPr>
            <w:r>
              <w:rPr>
                <w:b/>
                <w:sz w:val="18"/>
              </w:rPr>
              <w:t>Responsibility</w:t>
            </w:r>
          </w:p>
        </w:tc>
      </w:tr>
      <w:tr w:rsidR="0039721F" w14:paraId="0DA40EB2" w14:textId="77777777">
        <w:trPr>
          <w:jc w:val="center"/>
        </w:trPr>
        <w:tc>
          <w:tcPr>
            <w:tcW w:w="4824" w:type="dxa"/>
          </w:tcPr>
          <w:p w14:paraId="61C12C59" w14:textId="77777777" w:rsidR="0039721F" w:rsidRDefault="00000000">
            <w:pPr>
              <w:spacing w:after="40"/>
            </w:pPr>
            <w:r>
              <w:rPr>
                <w:sz w:val="18"/>
              </w:rPr>
              <w:t>Backend / data engineering</w:t>
            </w:r>
          </w:p>
        </w:tc>
        <w:tc>
          <w:tcPr>
            <w:tcW w:w="4824" w:type="dxa"/>
          </w:tcPr>
          <w:p w14:paraId="4ACF4C04" w14:textId="77777777" w:rsidR="0039721F" w:rsidRDefault="00000000">
            <w:pPr>
              <w:spacing w:after="40"/>
            </w:pPr>
            <w:r>
              <w:rPr>
                <w:sz w:val="18"/>
              </w:rPr>
              <w:t>Ingestion pullers, scheduling, database schema, ingestion health monitoring</w:t>
            </w:r>
          </w:p>
        </w:tc>
      </w:tr>
      <w:tr w:rsidR="0039721F" w14:paraId="4AC29E71" w14:textId="77777777">
        <w:trPr>
          <w:jc w:val="center"/>
        </w:trPr>
        <w:tc>
          <w:tcPr>
            <w:tcW w:w="4824" w:type="dxa"/>
          </w:tcPr>
          <w:p w14:paraId="69D482F3" w14:textId="77777777" w:rsidR="0039721F" w:rsidRDefault="00000000">
            <w:pPr>
              <w:spacing w:after="40"/>
            </w:pPr>
            <w:r>
              <w:rPr>
                <w:sz w:val="18"/>
              </w:rPr>
              <w:t>Geospatial / ML</w:t>
            </w:r>
          </w:p>
        </w:tc>
        <w:tc>
          <w:tcPr>
            <w:tcW w:w="4824" w:type="dxa"/>
          </w:tcPr>
          <w:p w14:paraId="18B09EA3" w14:textId="77777777" w:rsidR="0039721F" w:rsidRDefault="00000000">
            <w:pPr>
              <w:spacing w:after="40"/>
            </w:pPr>
            <w:r>
              <w:rPr>
                <w:sz w:val="18"/>
              </w:rPr>
              <w:t>Grid engine, IDW, feature cube assembly, ConvLSTM training &amp; evaluation</w:t>
            </w:r>
          </w:p>
        </w:tc>
      </w:tr>
      <w:tr w:rsidR="0039721F" w14:paraId="2A967556" w14:textId="77777777">
        <w:trPr>
          <w:jc w:val="center"/>
        </w:trPr>
        <w:tc>
          <w:tcPr>
            <w:tcW w:w="4824" w:type="dxa"/>
          </w:tcPr>
          <w:p w14:paraId="27453CFA" w14:textId="77777777" w:rsidR="0039721F" w:rsidRDefault="00000000">
            <w:pPr>
              <w:spacing w:after="40"/>
            </w:pPr>
            <w:r>
              <w:rPr>
                <w:sz w:val="18"/>
              </w:rPr>
              <w:t>Multi‑agent systems</w:t>
            </w:r>
          </w:p>
        </w:tc>
        <w:tc>
          <w:tcPr>
            <w:tcW w:w="4824" w:type="dxa"/>
          </w:tcPr>
          <w:p w14:paraId="26411A30" w14:textId="77777777" w:rsidR="0039721F" w:rsidRDefault="00000000">
            <w:pPr>
              <w:spacing w:after="40"/>
            </w:pPr>
            <w:r>
              <w:rPr>
                <w:sz w:val="18"/>
              </w:rPr>
              <w:t>LangGraph pipeline, attribution/enforcement scoring logic, LLM wrapper and fallback discipline</w:t>
            </w:r>
          </w:p>
        </w:tc>
      </w:tr>
      <w:tr w:rsidR="0039721F" w14:paraId="74E8F07E" w14:textId="77777777">
        <w:trPr>
          <w:jc w:val="center"/>
        </w:trPr>
        <w:tc>
          <w:tcPr>
            <w:tcW w:w="4824" w:type="dxa"/>
          </w:tcPr>
          <w:p w14:paraId="69202C2C" w14:textId="77777777" w:rsidR="0039721F" w:rsidRDefault="00000000">
            <w:pPr>
              <w:spacing w:after="40"/>
            </w:pPr>
            <w:r>
              <w:rPr>
                <w:sz w:val="18"/>
              </w:rPr>
              <w:t>Frontend</w:t>
            </w:r>
          </w:p>
        </w:tc>
        <w:tc>
          <w:tcPr>
            <w:tcW w:w="4824" w:type="dxa"/>
          </w:tcPr>
          <w:p w14:paraId="124B7C36" w14:textId="77777777" w:rsidR="0039721F" w:rsidRDefault="00000000">
            <w:pPr>
              <w:spacing w:after="40"/>
            </w:pPr>
            <w:r>
              <w:rPr>
                <w:sz w:val="18"/>
              </w:rPr>
              <w:t>Next.js dashboard, all 8 routes, accessibility, the UX4G‑to‑dark‑theme redesign</w:t>
            </w:r>
          </w:p>
        </w:tc>
      </w:tr>
      <w:tr w:rsidR="0039721F" w14:paraId="4D9D43AD" w14:textId="77777777">
        <w:trPr>
          <w:jc w:val="center"/>
        </w:trPr>
        <w:tc>
          <w:tcPr>
            <w:tcW w:w="4824" w:type="dxa"/>
          </w:tcPr>
          <w:p w14:paraId="275EF98D" w14:textId="77777777" w:rsidR="0039721F" w:rsidRDefault="00000000">
            <w:pPr>
              <w:spacing w:after="40"/>
            </w:pPr>
            <w:r>
              <w:rPr>
                <w:sz w:val="18"/>
              </w:rPr>
              <w:t>QA / testing</w:t>
            </w:r>
          </w:p>
        </w:tc>
        <w:tc>
          <w:tcPr>
            <w:tcW w:w="4824" w:type="dxa"/>
          </w:tcPr>
          <w:p w14:paraId="01985FBB" w14:textId="77777777" w:rsidR="0039721F" w:rsidRDefault="00000000">
            <w:pPr>
              <w:spacing w:after="40"/>
            </w:pPr>
            <w:r>
              <w:rPr>
                <w:sz w:val="18"/>
              </w:rPr>
              <w:t>The 59‑test suite, HTTP‑boundary mocking strategy, CI reliability</w:t>
            </w:r>
          </w:p>
        </w:tc>
      </w:tr>
      <w:tr w:rsidR="0039721F" w14:paraId="299EA189" w14:textId="77777777">
        <w:trPr>
          <w:jc w:val="center"/>
        </w:trPr>
        <w:tc>
          <w:tcPr>
            <w:tcW w:w="4824" w:type="dxa"/>
          </w:tcPr>
          <w:p w14:paraId="253A2D46" w14:textId="77777777" w:rsidR="0039721F" w:rsidRDefault="00000000">
            <w:pPr>
              <w:spacing w:after="40"/>
            </w:pPr>
            <w:r>
              <w:rPr>
                <w:sz w:val="18"/>
              </w:rPr>
              <w:t>Documentation / demo</w:t>
            </w:r>
          </w:p>
        </w:tc>
        <w:tc>
          <w:tcPr>
            <w:tcW w:w="4824" w:type="dxa"/>
          </w:tcPr>
          <w:p w14:paraId="43E7AB2C" w14:textId="77777777" w:rsidR="0039721F" w:rsidRDefault="00000000">
            <w:pPr>
              <w:spacing w:after="40"/>
            </w:pPr>
            <w:r>
              <w:rPr>
                <w:rFonts w:ascii="Consolas" w:hAnsi="Consolas"/>
                <w:color w:val="8A2B2B"/>
                <w:sz w:val="18"/>
              </w:rPr>
              <w:t>docs/</w:t>
            </w:r>
            <w:r>
              <w:rPr>
                <w:sz w:val="18"/>
              </w:rPr>
              <w:t xml:space="preserve"> (architecture, build plan, demo script), the presentation deck, this submission document</w:t>
            </w:r>
          </w:p>
        </w:tc>
      </w:tr>
    </w:tbl>
    <w:p w14:paraId="45A7C37C" w14:textId="77777777" w:rsidR="0039721F" w:rsidRDefault="0039721F">
      <w:pPr>
        <w:spacing w:after="80"/>
      </w:pPr>
    </w:p>
    <w:p w14:paraId="50034729" w14:textId="77777777" w:rsidR="0039721F" w:rsidRDefault="00000000">
      <w:r>
        <w:t>Each team member contributed across more than one of these areas over the course of the build.</w:t>
      </w:r>
    </w:p>
    <w:p w14:paraId="28CDC4F1" w14:textId="77777777" w:rsidR="0039721F" w:rsidRDefault="00000000">
      <w:pPr>
        <w:pStyle w:val="Heading1"/>
      </w:pPr>
      <w:r>
        <w:t>41. Risk Assessment</w:t>
      </w:r>
    </w:p>
    <w:tbl>
      <w:tblPr>
        <w:tblStyle w:val="TableGrid"/>
        <w:tblW w:w="0" w:type="auto"/>
        <w:jc w:val="center"/>
        <w:tblLook w:val="04A0" w:firstRow="1" w:lastRow="0" w:firstColumn="1" w:lastColumn="0" w:noHBand="0" w:noVBand="1"/>
      </w:tblPr>
      <w:tblGrid>
        <w:gridCol w:w="2412"/>
        <w:gridCol w:w="2412"/>
        <w:gridCol w:w="2412"/>
        <w:gridCol w:w="2412"/>
      </w:tblGrid>
      <w:tr w:rsidR="0039721F" w14:paraId="728657CC" w14:textId="77777777">
        <w:trPr>
          <w:jc w:val="center"/>
        </w:trPr>
        <w:tc>
          <w:tcPr>
            <w:tcW w:w="2412" w:type="dxa"/>
            <w:shd w:val="clear" w:color="auto" w:fill="E4DEFF"/>
          </w:tcPr>
          <w:p w14:paraId="79090B3E" w14:textId="77777777" w:rsidR="0039721F" w:rsidRDefault="00000000">
            <w:pPr>
              <w:spacing w:after="40"/>
            </w:pPr>
            <w:r>
              <w:rPr>
                <w:b/>
                <w:sz w:val="18"/>
              </w:rPr>
              <w:t>Risk</w:t>
            </w:r>
          </w:p>
        </w:tc>
        <w:tc>
          <w:tcPr>
            <w:tcW w:w="2412" w:type="dxa"/>
            <w:shd w:val="clear" w:color="auto" w:fill="E4DEFF"/>
          </w:tcPr>
          <w:p w14:paraId="6B01447A" w14:textId="77777777" w:rsidR="0039721F" w:rsidRDefault="00000000">
            <w:pPr>
              <w:spacing w:after="40"/>
            </w:pPr>
            <w:r>
              <w:rPr>
                <w:b/>
                <w:sz w:val="18"/>
              </w:rPr>
              <w:t>Likelihood</w:t>
            </w:r>
          </w:p>
        </w:tc>
        <w:tc>
          <w:tcPr>
            <w:tcW w:w="2412" w:type="dxa"/>
            <w:shd w:val="clear" w:color="auto" w:fill="E4DEFF"/>
          </w:tcPr>
          <w:p w14:paraId="2AACFF5F" w14:textId="77777777" w:rsidR="0039721F" w:rsidRDefault="00000000">
            <w:pPr>
              <w:spacing w:after="40"/>
            </w:pPr>
            <w:r>
              <w:rPr>
                <w:b/>
                <w:sz w:val="18"/>
              </w:rPr>
              <w:t>Impact</w:t>
            </w:r>
          </w:p>
        </w:tc>
        <w:tc>
          <w:tcPr>
            <w:tcW w:w="2412" w:type="dxa"/>
            <w:shd w:val="clear" w:color="auto" w:fill="E4DEFF"/>
          </w:tcPr>
          <w:p w14:paraId="49CDAD83" w14:textId="77777777" w:rsidR="0039721F" w:rsidRDefault="00000000">
            <w:pPr>
              <w:spacing w:after="40"/>
            </w:pPr>
            <w:r>
              <w:rPr>
                <w:b/>
                <w:sz w:val="18"/>
              </w:rPr>
              <w:t>Mitigation already in place</w:t>
            </w:r>
          </w:p>
        </w:tc>
      </w:tr>
      <w:tr w:rsidR="0039721F" w14:paraId="17C8B994" w14:textId="77777777">
        <w:trPr>
          <w:jc w:val="center"/>
        </w:trPr>
        <w:tc>
          <w:tcPr>
            <w:tcW w:w="2412" w:type="dxa"/>
          </w:tcPr>
          <w:p w14:paraId="26E32BD1" w14:textId="77777777" w:rsidR="0039721F" w:rsidRDefault="00000000">
            <w:pPr>
              <w:spacing w:after="40"/>
            </w:pPr>
            <w:r>
              <w:rPr>
                <w:sz w:val="18"/>
              </w:rPr>
              <w:t>External API rate‑limiting or downtime (OpenAQ, FIRMS, Overpass, CDSE)</w:t>
            </w:r>
          </w:p>
        </w:tc>
        <w:tc>
          <w:tcPr>
            <w:tcW w:w="2412" w:type="dxa"/>
          </w:tcPr>
          <w:p w14:paraId="7414AA65" w14:textId="77777777" w:rsidR="0039721F" w:rsidRDefault="00000000">
            <w:pPr>
              <w:spacing w:after="40"/>
            </w:pPr>
            <w:r>
              <w:rPr>
                <w:sz w:val="18"/>
              </w:rPr>
              <w:t>Medium</w:t>
            </w:r>
          </w:p>
        </w:tc>
        <w:tc>
          <w:tcPr>
            <w:tcW w:w="2412" w:type="dxa"/>
          </w:tcPr>
          <w:p w14:paraId="57D9CABE" w14:textId="77777777" w:rsidR="0039721F" w:rsidRDefault="00000000">
            <w:pPr>
              <w:spacing w:after="40"/>
            </w:pPr>
            <w:r>
              <w:rPr>
                <w:sz w:val="18"/>
              </w:rPr>
              <w:t>Medium</w:t>
            </w:r>
          </w:p>
        </w:tc>
        <w:tc>
          <w:tcPr>
            <w:tcW w:w="2412" w:type="dxa"/>
          </w:tcPr>
          <w:p w14:paraId="5943C426" w14:textId="77777777" w:rsidR="0039721F" w:rsidRDefault="00000000">
            <w:pPr>
              <w:spacing w:after="40"/>
            </w:pPr>
            <w:r>
              <w:rPr>
                <w:sz w:val="18"/>
              </w:rPr>
              <w:t xml:space="preserve">Overpass mirror rotation + tiling; retry/backoff via </w:t>
            </w:r>
            <w:r>
              <w:rPr>
                <w:rFonts w:ascii="Consolas" w:hAnsi="Consolas"/>
                <w:color w:val="8A2B2B"/>
                <w:sz w:val="18"/>
              </w:rPr>
              <w:t>tenacity</w:t>
            </w:r>
            <w:r>
              <w:rPr>
                <w:sz w:val="18"/>
              </w:rPr>
              <w:t>; every ingestion run logged with status/error so failures are visible, not silent</w:t>
            </w:r>
          </w:p>
        </w:tc>
      </w:tr>
      <w:tr w:rsidR="0039721F" w14:paraId="0DBD6157" w14:textId="77777777">
        <w:trPr>
          <w:jc w:val="center"/>
        </w:trPr>
        <w:tc>
          <w:tcPr>
            <w:tcW w:w="2412" w:type="dxa"/>
          </w:tcPr>
          <w:p w14:paraId="0A841918" w14:textId="77777777" w:rsidR="0039721F" w:rsidRDefault="00000000">
            <w:pPr>
              <w:spacing w:after="40"/>
            </w:pPr>
            <w:r>
              <w:rPr>
                <w:sz w:val="18"/>
              </w:rPr>
              <w:t>LLM provider outage or missing key</w:t>
            </w:r>
          </w:p>
        </w:tc>
        <w:tc>
          <w:tcPr>
            <w:tcW w:w="2412" w:type="dxa"/>
          </w:tcPr>
          <w:p w14:paraId="08C35549" w14:textId="77777777" w:rsidR="0039721F" w:rsidRDefault="00000000">
            <w:pPr>
              <w:spacing w:after="40"/>
            </w:pPr>
            <w:r>
              <w:rPr>
                <w:sz w:val="18"/>
              </w:rPr>
              <w:t>Medium</w:t>
            </w:r>
          </w:p>
        </w:tc>
        <w:tc>
          <w:tcPr>
            <w:tcW w:w="2412" w:type="dxa"/>
          </w:tcPr>
          <w:p w14:paraId="48AB8166" w14:textId="77777777" w:rsidR="0039721F" w:rsidRDefault="00000000">
            <w:pPr>
              <w:spacing w:after="40"/>
            </w:pPr>
            <w:r>
              <w:rPr>
                <w:sz w:val="18"/>
              </w:rPr>
              <w:t>Low</w:t>
            </w:r>
          </w:p>
        </w:tc>
        <w:tc>
          <w:tcPr>
            <w:tcW w:w="2412" w:type="dxa"/>
          </w:tcPr>
          <w:p w14:paraId="76900283" w14:textId="77777777" w:rsidR="0039721F" w:rsidRDefault="00000000">
            <w:pPr>
              <w:spacing w:after="40"/>
            </w:pPr>
            <w:r>
              <w:rPr>
                <w:sz w:val="18"/>
              </w:rPr>
              <w:t xml:space="preserve">Every LLM call has a deterministic, script‑correct fallback; pipeline never </w:t>
            </w:r>
            <w:r>
              <w:rPr>
                <w:sz w:val="18"/>
              </w:rPr>
              <w:lastRenderedPageBreak/>
              <w:t>blocks on the LLM</w:t>
            </w:r>
          </w:p>
        </w:tc>
      </w:tr>
      <w:tr w:rsidR="0039721F" w14:paraId="083D3263" w14:textId="77777777">
        <w:trPr>
          <w:jc w:val="center"/>
        </w:trPr>
        <w:tc>
          <w:tcPr>
            <w:tcW w:w="2412" w:type="dxa"/>
          </w:tcPr>
          <w:p w14:paraId="354C02EC" w14:textId="77777777" w:rsidR="0039721F" w:rsidRDefault="00000000">
            <w:pPr>
              <w:spacing w:after="40"/>
            </w:pPr>
            <w:r>
              <w:rPr>
                <w:sz w:val="18"/>
              </w:rPr>
              <w:lastRenderedPageBreak/>
              <w:t>Demo‑window seasonality (no real fires in monsoon season)</w:t>
            </w:r>
          </w:p>
        </w:tc>
        <w:tc>
          <w:tcPr>
            <w:tcW w:w="2412" w:type="dxa"/>
          </w:tcPr>
          <w:p w14:paraId="4018FA0A" w14:textId="77777777" w:rsidR="0039721F" w:rsidRDefault="00000000">
            <w:pPr>
              <w:spacing w:after="40"/>
            </w:pPr>
            <w:r>
              <w:rPr>
                <w:sz w:val="18"/>
              </w:rPr>
              <w:t>Certain (this demo window)</w:t>
            </w:r>
          </w:p>
        </w:tc>
        <w:tc>
          <w:tcPr>
            <w:tcW w:w="2412" w:type="dxa"/>
          </w:tcPr>
          <w:p w14:paraId="193D3777" w14:textId="77777777" w:rsidR="0039721F" w:rsidRDefault="00000000">
            <w:pPr>
              <w:spacing w:after="40"/>
            </w:pPr>
            <w:r>
              <w:rPr>
                <w:sz w:val="18"/>
              </w:rPr>
              <w:t>Low</w:t>
            </w:r>
          </w:p>
        </w:tc>
        <w:tc>
          <w:tcPr>
            <w:tcW w:w="2412" w:type="dxa"/>
          </w:tcPr>
          <w:p w14:paraId="5C857DEF" w14:textId="77777777" w:rsidR="0039721F" w:rsidRDefault="00000000">
            <w:pPr>
              <w:spacing w:after="40"/>
            </w:pPr>
            <w:r>
              <w:rPr>
                <w:sz w:val="18"/>
              </w:rPr>
              <w:t>Honestly‑flagged synthetic anomaly drill exercises the identical code path</w:t>
            </w:r>
          </w:p>
        </w:tc>
      </w:tr>
      <w:tr w:rsidR="0039721F" w14:paraId="53B0E8C5" w14:textId="77777777">
        <w:trPr>
          <w:jc w:val="center"/>
        </w:trPr>
        <w:tc>
          <w:tcPr>
            <w:tcW w:w="2412" w:type="dxa"/>
          </w:tcPr>
          <w:p w14:paraId="2EC2BD68" w14:textId="77777777" w:rsidR="0039721F" w:rsidRDefault="00000000">
            <w:pPr>
              <w:spacing w:after="40"/>
            </w:pPr>
            <w:r>
              <w:rPr>
                <w:sz w:val="18"/>
              </w:rPr>
              <w:t>Forecast underperforming persistence at some horizon</w:t>
            </w:r>
          </w:p>
        </w:tc>
        <w:tc>
          <w:tcPr>
            <w:tcW w:w="2412" w:type="dxa"/>
          </w:tcPr>
          <w:p w14:paraId="7FE91685" w14:textId="77777777" w:rsidR="0039721F" w:rsidRDefault="00000000">
            <w:pPr>
              <w:spacing w:after="40"/>
            </w:pPr>
            <w:r>
              <w:rPr>
                <w:sz w:val="18"/>
              </w:rPr>
              <w:t>Realized once already (24h)</w:t>
            </w:r>
          </w:p>
        </w:tc>
        <w:tc>
          <w:tcPr>
            <w:tcW w:w="2412" w:type="dxa"/>
          </w:tcPr>
          <w:p w14:paraId="2C11E10E" w14:textId="77777777" w:rsidR="0039721F" w:rsidRDefault="00000000">
            <w:pPr>
              <w:spacing w:after="40"/>
            </w:pPr>
            <w:r>
              <w:rPr>
                <w:sz w:val="18"/>
              </w:rPr>
              <w:t>Medium</w:t>
            </w:r>
          </w:p>
        </w:tc>
        <w:tc>
          <w:tcPr>
            <w:tcW w:w="2412" w:type="dxa"/>
          </w:tcPr>
          <w:p w14:paraId="44F3AFED" w14:textId="77777777" w:rsidR="0039721F" w:rsidRDefault="00000000">
            <w:pPr>
              <w:spacing w:after="40"/>
            </w:pPr>
            <w:r>
              <w:rPr>
                <w:sz w:val="18"/>
              </w:rPr>
              <w:t>Root‑caused (missing time‑of‑day signal) and fixed via the 13‑channel retrain (Section 32); documented, not hidden</w:t>
            </w:r>
          </w:p>
        </w:tc>
      </w:tr>
      <w:tr w:rsidR="0039721F" w14:paraId="28B0C664" w14:textId="77777777">
        <w:trPr>
          <w:jc w:val="center"/>
        </w:trPr>
        <w:tc>
          <w:tcPr>
            <w:tcW w:w="2412" w:type="dxa"/>
          </w:tcPr>
          <w:p w14:paraId="44DEA6F5" w14:textId="77777777" w:rsidR="0039721F" w:rsidRDefault="00000000">
            <w:pPr>
              <w:spacing w:after="40"/>
            </w:pPr>
            <w:r>
              <w:rPr>
                <w:sz w:val="18"/>
              </w:rPr>
              <w:t>Native PostgreSQL port collision (5432)</w:t>
            </w:r>
          </w:p>
        </w:tc>
        <w:tc>
          <w:tcPr>
            <w:tcW w:w="2412" w:type="dxa"/>
          </w:tcPr>
          <w:p w14:paraId="2CB7D33B" w14:textId="77777777" w:rsidR="0039721F" w:rsidRDefault="00000000">
            <w:pPr>
              <w:spacing w:after="40"/>
            </w:pPr>
            <w:r>
              <w:rPr>
                <w:sz w:val="18"/>
              </w:rPr>
              <w:t>Medium (new‑teammate setup)</w:t>
            </w:r>
          </w:p>
        </w:tc>
        <w:tc>
          <w:tcPr>
            <w:tcW w:w="2412" w:type="dxa"/>
          </w:tcPr>
          <w:p w14:paraId="232F4A30" w14:textId="77777777" w:rsidR="0039721F" w:rsidRDefault="00000000">
            <w:pPr>
              <w:spacing w:after="40"/>
            </w:pPr>
            <w:r>
              <w:rPr>
                <w:sz w:val="18"/>
              </w:rPr>
              <w:t>Low</w:t>
            </w:r>
          </w:p>
        </w:tc>
        <w:tc>
          <w:tcPr>
            <w:tcW w:w="2412" w:type="dxa"/>
          </w:tcPr>
          <w:p w14:paraId="683DDF6A" w14:textId="77777777" w:rsidR="0039721F" w:rsidRDefault="00000000">
            <w:pPr>
              <w:spacing w:after="40"/>
            </w:pPr>
            <w:r>
              <w:rPr>
                <w:sz w:val="18"/>
              </w:rPr>
              <w:t xml:space="preserve">Container mapped to 5433 deliberately, documented as the #1 "hard‑won trap" in </w:t>
            </w:r>
            <w:r>
              <w:rPr>
                <w:rFonts w:ascii="Consolas" w:hAnsi="Consolas"/>
                <w:color w:val="8A2B2B"/>
                <w:sz w:val="18"/>
              </w:rPr>
              <w:t>TEAM_SETUP.md</w:t>
            </w:r>
          </w:p>
        </w:tc>
      </w:tr>
      <w:tr w:rsidR="0039721F" w14:paraId="128D079C" w14:textId="77777777">
        <w:trPr>
          <w:jc w:val="center"/>
        </w:trPr>
        <w:tc>
          <w:tcPr>
            <w:tcW w:w="2412" w:type="dxa"/>
          </w:tcPr>
          <w:p w14:paraId="20B7BED9" w14:textId="77777777" w:rsidR="0039721F" w:rsidRDefault="00000000">
            <w:pPr>
              <w:spacing w:after="40"/>
            </w:pPr>
            <w:r>
              <w:rPr>
                <w:sz w:val="18"/>
              </w:rPr>
              <w:t>Cube/checkpoint channel‑count drift after a schema change</w:t>
            </w:r>
          </w:p>
        </w:tc>
        <w:tc>
          <w:tcPr>
            <w:tcW w:w="2412" w:type="dxa"/>
          </w:tcPr>
          <w:p w14:paraId="4421607A" w14:textId="77777777" w:rsidR="0039721F" w:rsidRDefault="00000000">
            <w:pPr>
              <w:spacing w:after="40"/>
            </w:pPr>
            <w:r>
              <w:rPr>
                <w:sz w:val="18"/>
              </w:rPr>
              <w:t>Medium (ongoing development)</w:t>
            </w:r>
          </w:p>
        </w:tc>
        <w:tc>
          <w:tcPr>
            <w:tcW w:w="2412" w:type="dxa"/>
          </w:tcPr>
          <w:p w14:paraId="4F7EF366" w14:textId="77777777" w:rsidR="0039721F" w:rsidRDefault="00000000">
            <w:pPr>
              <w:spacing w:after="40"/>
            </w:pPr>
            <w:r>
              <w:rPr>
                <w:sz w:val="18"/>
              </w:rPr>
              <w:t>Medium</w:t>
            </w:r>
          </w:p>
        </w:tc>
        <w:tc>
          <w:tcPr>
            <w:tcW w:w="2412" w:type="dxa"/>
          </w:tcPr>
          <w:p w14:paraId="544C6A0B" w14:textId="77777777" w:rsidR="0039721F" w:rsidRDefault="00000000">
            <w:pPr>
              <w:spacing w:after="40"/>
            </w:pPr>
            <w:r>
              <w:rPr>
                <w:sz w:val="18"/>
              </w:rPr>
              <w:t>Serving path slices older checkpoints to their trained channel count automatically; training refuses to run against a stale cube schema</w:t>
            </w:r>
          </w:p>
        </w:tc>
      </w:tr>
      <w:tr w:rsidR="0039721F" w14:paraId="7375EFEA" w14:textId="77777777">
        <w:trPr>
          <w:jc w:val="center"/>
        </w:trPr>
        <w:tc>
          <w:tcPr>
            <w:tcW w:w="2412" w:type="dxa"/>
          </w:tcPr>
          <w:p w14:paraId="47699675" w14:textId="77777777" w:rsidR="0039721F" w:rsidRDefault="00000000">
            <w:pPr>
              <w:spacing w:after="40"/>
            </w:pPr>
            <w:r>
              <w:rPr>
                <w:sz w:val="18"/>
              </w:rPr>
              <w:t>No authentication on write endpoints</w:t>
            </w:r>
          </w:p>
        </w:tc>
        <w:tc>
          <w:tcPr>
            <w:tcW w:w="2412" w:type="dxa"/>
          </w:tcPr>
          <w:p w14:paraId="38BDD57B" w14:textId="77777777" w:rsidR="0039721F" w:rsidRDefault="00000000">
            <w:pPr>
              <w:spacing w:after="40"/>
            </w:pPr>
            <w:r>
              <w:rPr>
                <w:sz w:val="18"/>
              </w:rPr>
              <w:t>Certain (current state)</w:t>
            </w:r>
          </w:p>
        </w:tc>
        <w:tc>
          <w:tcPr>
            <w:tcW w:w="2412" w:type="dxa"/>
          </w:tcPr>
          <w:p w14:paraId="65B39464" w14:textId="77777777" w:rsidR="0039721F" w:rsidRDefault="00000000">
            <w:pPr>
              <w:spacing w:after="40"/>
            </w:pPr>
            <w:r>
              <w:rPr>
                <w:sz w:val="18"/>
              </w:rPr>
              <w:t>Medium (pre‑production)</w:t>
            </w:r>
          </w:p>
        </w:tc>
        <w:tc>
          <w:tcPr>
            <w:tcW w:w="2412" w:type="dxa"/>
          </w:tcPr>
          <w:p w14:paraId="3550AFD3" w14:textId="77777777" w:rsidR="0039721F" w:rsidRDefault="00000000">
            <w:pPr>
              <w:spacing w:after="40"/>
            </w:pPr>
            <w:r>
              <w:rPr>
                <w:sz w:val="18"/>
              </w:rPr>
              <w:t>Explicitly documented as out of scope for the prototype (Section 27), with the hardening path specified</w:t>
            </w:r>
          </w:p>
        </w:tc>
      </w:tr>
      <w:tr w:rsidR="0039721F" w14:paraId="33519390" w14:textId="77777777">
        <w:trPr>
          <w:jc w:val="center"/>
        </w:trPr>
        <w:tc>
          <w:tcPr>
            <w:tcW w:w="2412" w:type="dxa"/>
          </w:tcPr>
          <w:p w14:paraId="0E81E20A" w14:textId="77777777" w:rsidR="0039721F" w:rsidRDefault="00000000">
            <w:pPr>
              <w:spacing w:after="40"/>
            </w:pPr>
            <w:r>
              <w:rPr>
                <w:sz w:val="18"/>
              </w:rPr>
              <w:t>Single‑instance scheduler at multi‑city scale</w:t>
            </w:r>
          </w:p>
        </w:tc>
        <w:tc>
          <w:tcPr>
            <w:tcW w:w="2412" w:type="dxa"/>
          </w:tcPr>
          <w:p w14:paraId="27C96131" w14:textId="77777777" w:rsidR="0039721F" w:rsidRDefault="00000000">
            <w:pPr>
              <w:spacing w:after="40"/>
            </w:pPr>
            <w:r>
              <w:rPr>
                <w:sz w:val="18"/>
              </w:rPr>
              <w:t>Low (current 1–2 city scale)</w:t>
            </w:r>
          </w:p>
        </w:tc>
        <w:tc>
          <w:tcPr>
            <w:tcW w:w="2412" w:type="dxa"/>
          </w:tcPr>
          <w:p w14:paraId="73A25A2E" w14:textId="77777777" w:rsidR="0039721F" w:rsidRDefault="00000000">
            <w:pPr>
              <w:spacing w:after="40"/>
            </w:pPr>
            <w:r>
              <w:rPr>
                <w:sz w:val="18"/>
              </w:rPr>
              <w:t>Medium (future)</w:t>
            </w:r>
          </w:p>
        </w:tc>
        <w:tc>
          <w:tcPr>
            <w:tcW w:w="2412" w:type="dxa"/>
          </w:tcPr>
          <w:p w14:paraId="366A9E8F" w14:textId="77777777" w:rsidR="0039721F" w:rsidRDefault="00000000">
            <w:pPr>
              <w:spacing w:after="40"/>
            </w:pPr>
            <w:r>
              <w:rPr>
                <w:sz w:val="18"/>
              </w:rPr>
              <w:t>Documented migration path to a distributed scheduler (Section 28)</w:t>
            </w:r>
          </w:p>
        </w:tc>
      </w:tr>
    </w:tbl>
    <w:p w14:paraId="5B96DD51" w14:textId="77777777" w:rsidR="0039721F" w:rsidRDefault="0039721F">
      <w:pPr>
        <w:spacing w:after="80"/>
      </w:pPr>
    </w:p>
    <w:p w14:paraId="45B55CBE" w14:textId="77777777" w:rsidR="0039721F" w:rsidRDefault="00000000">
      <w:pPr>
        <w:pStyle w:val="Heading1"/>
      </w:pPr>
      <w:r>
        <w:t>42. Cost Estimation (Optional)</w:t>
      </w:r>
    </w:p>
    <w:p w14:paraId="59B3C993" w14:textId="77777777" w:rsidR="0039721F" w:rsidRDefault="00000000">
      <w:r>
        <w:rPr>
          <w:b/>
        </w:rPr>
        <w:t>Prototype‑scale cost today: effectively 0.</w:t>
      </w:r>
      <w:r>
        <w:t xml:space="preserve"> Every ingested data source (OpenAQ, NASA FIRMS, Open‑Meteo, OSM Overpass, Copernicus CDSE) is free and public; PostGIS/Redis run in local Docker containers; model training runs on free‑tier Kaggle/Colab GPU quota; the LLM layer (Groq) has a generous free tier and every call has a zero‑cost deterministic fallback regardless.</w:t>
      </w:r>
    </w:p>
    <w:p w14:paraId="61490376" w14:textId="77777777" w:rsidR="0039721F" w:rsidRDefault="00000000">
      <w:r>
        <w:rPr>
          <w:b/>
        </w:rPr>
        <w:t>Actual live-deployment figure (Section 29):</w:t>
      </w:r>
      <w:r>
        <w:t xml:space="preserve"> Vercel frontend hosting and the Supabase/Upstash free tiers cost nothing at this traffic; </w:t>
      </w:r>
      <w:r>
        <w:rPr>
          <w:b/>
        </w:rPr>
        <w:t>Railway backend compute is the only metered cost, on the order of a few USD per month</w:t>
      </w:r>
      <w:r>
        <w:t xml:space="preserve"> for a single always-on container, with LLM API usage adding negligibly more at this scale. Each additional city adds ingestion/training compute time, not new data‑licensing cost, since every source is free at any bounding box (Section 28).</w:t>
      </w:r>
    </w:p>
    <w:p w14:paraId="4916B7C2" w14:textId="77777777" w:rsidR="0039721F" w:rsidRDefault="00000000">
      <w:pPr>
        <w:pStyle w:val="Heading1"/>
      </w:pPr>
      <w:r>
        <w:t>43. Conclusion</w:t>
      </w:r>
    </w:p>
    <w:p w14:paraId="07946AEA" w14:textId="77777777" w:rsidR="0039721F" w:rsidRDefault="00000000">
      <w:r>
        <w:t>UrbanAir Intel takes the problem brief's own diagnosis literally: the data exists, the intelligence layer to act on it does not. This submission is that intelligence layer, built rather than pitched — five live ingestion pipelines, a 2,805‑cell PostGIS grid, a forecaster that beats a named baseline at both judged horizons with the evaluation methodology to prove it honestly, a three‑agent enforcement pipeline with a dispatch lifecycle that instruments the exact "signal‑to‑intervention" metric the brief asks for, a six‑language citizen advisory layer, and a tested, accessible dashboard presenting all of it through one shared spatial index. What remains — a second city, satellite raster regridding, road‑network routing, and production deployment — is scoped, documented, and additive to an architecture that was built for that extension from its first commit, not retrofitted for it afterward.</w:t>
      </w:r>
    </w:p>
    <w:p w14:paraId="63D659E3" w14:textId="77777777" w:rsidR="0039721F" w:rsidRDefault="00000000">
      <w:pPr>
        <w:pStyle w:val="Heading1"/>
      </w:pPr>
      <w:r>
        <w:t>44. References</w:t>
      </w:r>
    </w:p>
    <w:p w14:paraId="31435339" w14:textId="77777777" w:rsidR="0039721F" w:rsidRDefault="00000000">
      <w:pPr>
        <w:pStyle w:val="ListNumber"/>
        <w:numPr>
          <w:ilvl w:val="0"/>
          <w:numId w:val="16"/>
        </w:numPr>
      </w:pPr>
      <w:r>
        <w:lastRenderedPageBreak/>
        <w:t>Hackathon problem statement — *"AI‑Powered Urban Air Quality Intelligence for Smart City Intervention"* (source brief for this submission).</w:t>
      </w:r>
    </w:p>
    <w:p w14:paraId="7EDC91E9" w14:textId="77777777" w:rsidR="0039721F" w:rsidRDefault="00000000">
      <w:pPr>
        <w:pStyle w:val="ListNumber"/>
      </w:pPr>
      <w:r>
        <w:t>Lancet Planetary Health / Global Burden of Disease, India State‑Level Disease Burden Initiative (2020–21) — premature‑death attribution to air pollution in India.</w:t>
      </w:r>
    </w:p>
    <w:p w14:paraId="6ED6A089" w14:textId="77777777" w:rsidR="0039721F" w:rsidRDefault="00000000">
      <w:pPr>
        <w:pStyle w:val="ListNumber"/>
      </w:pPr>
      <w:r>
        <w:t>Central Pollution Control Board (CPCB) — National Air Quality Index methodology and 2024 National Air Quality data.</w:t>
      </w:r>
    </w:p>
    <w:p w14:paraId="3AD9A294" w14:textId="77777777" w:rsidR="0039721F" w:rsidRDefault="00000000">
      <w:pPr>
        <w:pStyle w:val="ListNumber"/>
      </w:pPr>
      <w:r>
        <w:t>Comptroller and Auditor General of India (CAG) — 2024 audit of NCAP/CAAQMS response protocols.</w:t>
      </w:r>
    </w:p>
    <w:p w14:paraId="4A3ED684" w14:textId="77777777" w:rsidR="0039721F" w:rsidRDefault="00000000">
      <w:pPr>
        <w:pStyle w:val="ListNumber"/>
      </w:pPr>
      <w:r>
        <w:t>World Health Organization — Global Air Quality Guidelines, 2021.</w:t>
      </w:r>
    </w:p>
    <w:p w14:paraId="67B85C1E" w14:textId="77777777" w:rsidR="0039721F" w:rsidRDefault="00000000">
      <w:pPr>
        <w:pStyle w:val="ListNumber"/>
      </w:pPr>
      <w:r>
        <w:t>Shi, X. et al. — *"Convolutional LSTM Network: A Machine Learning Approach for Precipitation Nowcasting,"* NeurIPS 2015.</w:t>
      </w:r>
    </w:p>
    <w:p w14:paraId="26B2E6C2" w14:textId="77777777" w:rsidR="0039721F" w:rsidRDefault="00000000">
      <w:pPr>
        <w:pStyle w:val="ListNumber"/>
      </w:pPr>
      <w:r>
        <w:t>Shepard, D. — *"A two‑dimensional interpolation function for irregularly‑spaced data,"* Proceedings of the 1968 ACM National Conference.</w:t>
      </w:r>
    </w:p>
    <w:p w14:paraId="384B5D9E" w14:textId="77777777" w:rsidR="0039721F" w:rsidRDefault="00000000">
      <w:pPr>
        <w:pStyle w:val="ListNumber"/>
      </w:pPr>
      <w:r>
        <w:t>Veefkind, J.P. et al. — *"TROPOMI on the ESA Sentinel‑5 Precursor,"* Remote Sensing of Environment, 2012.</w:t>
      </w:r>
    </w:p>
    <w:p w14:paraId="3E5358A1" w14:textId="77777777" w:rsidR="0039721F" w:rsidRDefault="00000000">
      <w:pPr>
        <w:pStyle w:val="ListNumber"/>
      </w:pPr>
      <w:r>
        <w:t>Schroeder, W. et al. — *"The New VIIRS 375 m active fire detection data product,"* Remote Sensing of Environment, 2014.</w:t>
      </w:r>
    </w:p>
    <w:p w14:paraId="1E7BF75A" w14:textId="77777777" w:rsidR="0039721F" w:rsidRDefault="00000000">
      <w:pPr>
        <w:pStyle w:val="ListNumber"/>
      </w:pPr>
      <w:r>
        <w:t>OpenAQ, NASA FIRMS, Open‑Meteo, OpenStreetMap/Overpass API, Copernicus Data Space Ecosystem (CDSE) — primary data source documentation.</w:t>
      </w:r>
    </w:p>
    <w:p w14:paraId="14CCE987" w14:textId="77777777" w:rsidR="0039721F" w:rsidRDefault="00000000">
      <w:pPr>
        <w:pStyle w:val="ListNumber"/>
      </w:pPr>
      <w:r>
        <w:t>UX4G (NeGD / MeitY) — Government of India UX design system.</w:t>
      </w:r>
    </w:p>
    <w:p w14:paraId="14278B81" w14:textId="77777777" w:rsidR="0039721F" w:rsidRDefault="00000000">
      <w:pPr>
        <w:pStyle w:val="ListNumber"/>
      </w:pPr>
      <w:r>
        <w:t xml:space="preserve">Project internal documentation (this repository, </w:t>
      </w:r>
      <w:r>
        <w:rPr>
          <w:rFonts w:ascii="Consolas" w:hAnsi="Consolas"/>
          <w:color w:val="8A2B2B"/>
          <w:sz w:val="19"/>
        </w:rPr>
        <w:t>madhav-gfn/ETA</w:t>
      </w:r>
      <w:r>
        <w:t xml:space="preserve">): </w:t>
      </w:r>
      <w:r>
        <w:rPr>
          <w:rFonts w:ascii="Consolas" w:hAnsi="Consolas"/>
          <w:color w:val="8A2B2B"/>
          <w:sz w:val="19"/>
        </w:rPr>
        <w:t>README.md</w:t>
      </w:r>
      <w:r>
        <w:t xml:space="preserve">, </w:t>
      </w:r>
      <w:r>
        <w:rPr>
          <w:rFonts w:ascii="Consolas" w:hAnsi="Consolas"/>
          <w:color w:val="8A2B2B"/>
          <w:sz w:val="19"/>
        </w:rPr>
        <w:t>docs/ARCHITECTURE.md</w:t>
      </w:r>
      <w:r>
        <w:t xml:space="preserve">, </w:t>
      </w:r>
      <w:r>
        <w:rPr>
          <w:rFonts w:ascii="Consolas" w:hAnsi="Consolas"/>
          <w:color w:val="8A2B2B"/>
          <w:sz w:val="19"/>
        </w:rPr>
        <w:t>docs/BUILD_PLAN.md</w:t>
      </w:r>
      <w:r>
        <w:t xml:space="preserve">, </w:t>
      </w:r>
      <w:r>
        <w:rPr>
          <w:rFonts w:ascii="Consolas" w:hAnsi="Consolas"/>
          <w:color w:val="8A2B2B"/>
          <w:sz w:val="19"/>
        </w:rPr>
        <w:t>docs/DEMO.md</w:t>
      </w:r>
      <w:r>
        <w:t xml:space="preserve">, </w:t>
      </w:r>
      <w:r>
        <w:rPr>
          <w:rFonts w:ascii="Consolas" w:hAnsi="Consolas"/>
          <w:color w:val="8A2B2B"/>
          <w:sz w:val="19"/>
        </w:rPr>
        <w:t>docs/REMOTE_TRAINING.md</w:t>
      </w:r>
      <w:r>
        <w:t xml:space="preserve">, </w:t>
      </w:r>
      <w:r>
        <w:rPr>
          <w:rFonts w:ascii="Consolas" w:hAnsi="Consolas"/>
          <w:color w:val="8A2B2B"/>
          <w:sz w:val="19"/>
        </w:rPr>
        <w:t>docs/TEAM_SETUP.md</w:t>
      </w:r>
      <w:r>
        <w:t xml:space="preserve">, </w:t>
      </w:r>
      <w:r>
        <w:rPr>
          <w:rFonts w:ascii="Consolas" w:hAnsi="Consolas"/>
          <w:color w:val="8A2B2B"/>
          <w:sz w:val="19"/>
        </w:rPr>
        <w:t>SITEMAP.md</w:t>
      </w:r>
      <w:r>
        <w:t xml:space="preserve">, </w:t>
      </w:r>
      <w:r>
        <w:rPr>
          <w:rFonts w:ascii="Consolas" w:hAnsi="Consolas"/>
          <w:color w:val="8A2B2B"/>
          <w:sz w:val="19"/>
        </w:rPr>
        <w:t>docs/AI Air Quality Platform Research.md</w:t>
      </w:r>
      <w:r>
        <w:t xml:space="preserve"> — the primary sources for all technical claims in this document, cross‑checked directly against source code (</w:t>
      </w:r>
      <w:r>
        <w:rPr>
          <w:rFonts w:ascii="Consolas" w:hAnsi="Consolas"/>
          <w:color w:val="8A2B2B"/>
          <w:sz w:val="19"/>
        </w:rPr>
        <w:t>backend/app/</w:t>
      </w:r>
      <w:r>
        <w:t xml:space="preserve">) as of the </w:t>
      </w:r>
      <w:r>
        <w:rPr>
          <w:rFonts w:ascii="Consolas" w:hAnsi="Consolas"/>
          <w:color w:val="8A2B2B"/>
          <w:sz w:val="19"/>
        </w:rPr>
        <w:t>origin/main</w:t>
      </w:r>
      <w:r>
        <w:t xml:space="preserve"> and </w:t>
      </w:r>
      <w:r>
        <w:rPr>
          <w:rFonts w:ascii="Consolas" w:hAnsi="Consolas"/>
          <w:color w:val="8A2B2B"/>
          <w:sz w:val="19"/>
        </w:rPr>
        <w:t>frontend/futuristic-redesign</w:t>
      </w:r>
      <w:r>
        <w:t xml:space="preserve"> branches, 22 July 2026.</w:t>
      </w:r>
    </w:p>
    <w:p w14:paraId="4C1F94D3" w14:textId="77777777" w:rsidR="0039721F" w:rsidRDefault="00000000">
      <w:pPr>
        <w:pStyle w:val="ListNumber"/>
      </w:pPr>
      <w:r>
        <w:t xml:space="preserve">Awasthi, A., et al. — </w:t>
      </w:r>
      <w:r>
        <w:rPr>
          <w:i/>
        </w:rPr>
        <w:t>"Biomass-burning sources control ambient particulate matter, but traffic and industrial sources control volatile organic compound (VOC) emissions and secondary-pollutant formation during extreme pollution events in Delhi,"</w:t>
      </w:r>
      <w:r>
        <w:t xml:space="preserve"> Atmospheric Chemistry and Physics, 24, 10279–10304, 2024 (</w:t>
      </w:r>
      <w:r>
        <w:rPr>
          <w:rFonts w:ascii="Consolas" w:hAnsi="Consolas"/>
          <w:color w:val="8A2B2B"/>
          <w:sz w:val="19"/>
        </w:rPr>
        <w:t>doi.org/10.5194/acp-24-10279-2024</w:t>
      </w:r>
      <w:r>
        <w:t>) — empirical Delhi source-apportionment evidence (paddy-residue/biomass burning ≈25% of observed PM10) corroborating the biomass‑burning attribution signal scored in Section 20.</w:t>
      </w:r>
    </w:p>
    <w:p w14:paraId="729D4EFF" w14:textId="77777777" w:rsidR="0039721F" w:rsidRDefault="00000000">
      <w:pPr>
        <w:pStyle w:val="ListNumber"/>
      </w:pPr>
      <w:r>
        <w:t>Delhi Pollution Control Committee (DPCC) — Delhi air quality status report (</w:t>
      </w:r>
      <w:r>
        <w:rPr>
          <w:rFonts w:ascii="Consolas" w:hAnsi="Consolas"/>
          <w:color w:val="8A2B2B"/>
          <w:sz w:val="19"/>
        </w:rPr>
        <w:t>dpcc.delhigovt.nic.in/uploads/news/edc30867ffd362e8500f2b1686b55eac.pdf</w:t>
      </w:r>
      <w:r>
        <w:t>) — state-regulator source for Delhi‑specific ambient‑air‑quality figures cited in Sections 2 and 3.</w:t>
      </w:r>
    </w:p>
    <w:p w14:paraId="17EC7F81" w14:textId="77777777" w:rsidR="0039721F" w:rsidRDefault="00000000">
      <w:pPr>
        <w:pStyle w:val="Heading1"/>
      </w:pPr>
      <w:r>
        <w:t>45. Appendices</w:t>
      </w:r>
    </w:p>
    <w:p w14:paraId="66E43CDF" w14:textId="77777777" w:rsidR="0039721F" w:rsidRDefault="00000000">
      <w:pPr>
        <w:pStyle w:val="Heading2"/>
      </w:pPr>
      <w:r>
        <w:t>Appendix A — Glossary</w:t>
      </w:r>
    </w:p>
    <w:tbl>
      <w:tblPr>
        <w:tblStyle w:val="TableGrid"/>
        <w:tblW w:w="0" w:type="auto"/>
        <w:jc w:val="center"/>
        <w:tblLook w:val="04A0" w:firstRow="1" w:lastRow="0" w:firstColumn="1" w:lastColumn="0" w:noHBand="0" w:noVBand="1"/>
      </w:tblPr>
      <w:tblGrid>
        <w:gridCol w:w="4824"/>
        <w:gridCol w:w="4824"/>
      </w:tblGrid>
      <w:tr w:rsidR="0039721F" w14:paraId="6AF45BBF" w14:textId="77777777">
        <w:trPr>
          <w:jc w:val="center"/>
        </w:trPr>
        <w:tc>
          <w:tcPr>
            <w:tcW w:w="4824" w:type="dxa"/>
            <w:shd w:val="clear" w:color="auto" w:fill="E4DEFF"/>
          </w:tcPr>
          <w:p w14:paraId="5D001C03" w14:textId="77777777" w:rsidR="0039721F" w:rsidRDefault="00000000">
            <w:pPr>
              <w:spacing w:after="40"/>
            </w:pPr>
            <w:r>
              <w:rPr>
                <w:b/>
                <w:sz w:val="18"/>
              </w:rPr>
              <w:t>Term</w:t>
            </w:r>
          </w:p>
        </w:tc>
        <w:tc>
          <w:tcPr>
            <w:tcW w:w="4824" w:type="dxa"/>
            <w:shd w:val="clear" w:color="auto" w:fill="E4DEFF"/>
          </w:tcPr>
          <w:p w14:paraId="683F9998" w14:textId="77777777" w:rsidR="0039721F" w:rsidRDefault="00000000">
            <w:pPr>
              <w:spacing w:after="40"/>
            </w:pPr>
            <w:r>
              <w:rPr>
                <w:b/>
                <w:sz w:val="18"/>
              </w:rPr>
              <w:t>Meaning</w:t>
            </w:r>
          </w:p>
        </w:tc>
      </w:tr>
      <w:tr w:rsidR="0039721F" w14:paraId="747F77C1" w14:textId="77777777">
        <w:trPr>
          <w:jc w:val="center"/>
        </w:trPr>
        <w:tc>
          <w:tcPr>
            <w:tcW w:w="4824" w:type="dxa"/>
          </w:tcPr>
          <w:p w14:paraId="3B708E12" w14:textId="77777777" w:rsidR="0039721F" w:rsidRDefault="00000000">
            <w:pPr>
              <w:spacing w:after="40"/>
            </w:pPr>
            <w:r>
              <w:rPr>
                <w:sz w:val="18"/>
              </w:rPr>
              <w:t>CAAQMS</w:t>
            </w:r>
          </w:p>
        </w:tc>
        <w:tc>
          <w:tcPr>
            <w:tcW w:w="4824" w:type="dxa"/>
          </w:tcPr>
          <w:p w14:paraId="680720BA" w14:textId="77777777" w:rsidR="0039721F" w:rsidRDefault="00000000">
            <w:pPr>
              <w:spacing w:after="40"/>
            </w:pPr>
            <w:r>
              <w:rPr>
                <w:sz w:val="18"/>
              </w:rPr>
              <w:t>Continuous Ambient Air Quality Monitoring Station</w:t>
            </w:r>
          </w:p>
        </w:tc>
      </w:tr>
      <w:tr w:rsidR="0039721F" w14:paraId="6FCCC4A4" w14:textId="77777777">
        <w:trPr>
          <w:jc w:val="center"/>
        </w:trPr>
        <w:tc>
          <w:tcPr>
            <w:tcW w:w="4824" w:type="dxa"/>
          </w:tcPr>
          <w:p w14:paraId="59220E70" w14:textId="77777777" w:rsidR="0039721F" w:rsidRDefault="00000000">
            <w:pPr>
              <w:spacing w:after="40"/>
            </w:pPr>
            <w:r>
              <w:rPr>
                <w:sz w:val="18"/>
              </w:rPr>
              <w:t>NCAP</w:t>
            </w:r>
          </w:p>
        </w:tc>
        <w:tc>
          <w:tcPr>
            <w:tcW w:w="4824" w:type="dxa"/>
          </w:tcPr>
          <w:p w14:paraId="0A90CB1D" w14:textId="77777777" w:rsidR="0039721F" w:rsidRDefault="00000000">
            <w:pPr>
              <w:spacing w:after="40"/>
            </w:pPr>
            <w:r>
              <w:rPr>
                <w:sz w:val="18"/>
              </w:rPr>
              <w:t>National Clean Air Programme (India)</w:t>
            </w:r>
          </w:p>
        </w:tc>
      </w:tr>
      <w:tr w:rsidR="0039721F" w14:paraId="62ECC94B" w14:textId="77777777">
        <w:trPr>
          <w:jc w:val="center"/>
        </w:trPr>
        <w:tc>
          <w:tcPr>
            <w:tcW w:w="4824" w:type="dxa"/>
          </w:tcPr>
          <w:p w14:paraId="1DA0AEC2" w14:textId="77777777" w:rsidR="0039721F" w:rsidRDefault="00000000">
            <w:pPr>
              <w:spacing w:after="40"/>
            </w:pPr>
            <w:r>
              <w:rPr>
                <w:sz w:val="18"/>
              </w:rPr>
              <w:t>CPCB</w:t>
            </w:r>
          </w:p>
        </w:tc>
        <w:tc>
          <w:tcPr>
            <w:tcW w:w="4824" w:type="dxa"/>
          </w:tcPr>
          <w:p w14:paraId="385D0099" w14:textId="77777777" w:rsidR="0039721F" w:rsidRDefault="00000000">
            <w:pPr>
              <w:spacing w:after="40"/>
            </w:pPr>
            <w:r>
              <w:rPr>
                <w:sz w:val="18"/>
              </w:rPr>
              <w:t>Central Pollution Control Board</w:t>
            </w:r>
          </w:p>
        </w:tc>
      </w:tr>
      <w:tr w:rsidR="0039721F" w14:paraId="011155C8" w14:textId="77777777">
        <w:trPr>
          <w:jc w:val="center"/>
        </w:trPr>
        <w:tc>
          <w:tcPr>
            <w:tcW w:w="4824" w:type="dxa"/>
          </w:tcPr>
          <w:p w14:paraId="30F328AD" w14:textId="77777777" w:rsidR="0039721F" w:rsidRDefault="00000000">
            <w:pPr>
              <w:spacing w:after="40"/>
            </w:pPr>
            <w:r>
              <w:rPr>
                <w:sz w:val="18"/>
              </w:rPr>
              <w:t>IDW</w:t>
            </w:r>
          </w:p>
        </w:tc>
        <w:tc>
          <w:tcPr>
            <w:tcW w:w="4824" w:type="dxa"/>
          </w:tcPr>
          <w:p w14:paraId="7B6C33EF" w14:textId="77777777" w:rsidR="0039721F" w:rsidRDefault="00000000">
            <w:pPr>
              <w:spacing w:after="40"/>
            </w:pPr>
            <w:r>
              <w:rPr>
                <w:sz w:val="18"/>
              </w:rPr>
              <w:t>Inverse Distance Weighting (spatial interpolation)</w:t>
            </w:r>
          </w:p>
        </w:tc>
      </w:tr>
      <w:tr w:rsidR="0039721F" w14:paraId="55637B0C" w14:textId="77777777">
        <w:trPr>
          <w:jc w:val="center"/>
        </w:trPr>
        <w:tc>
          <w:tcPr>
            <w:tcW w:w="4824" w:type="dxa"/>
          </w:tcPr>
          <w:p w14:paraId="11149A2C" w14:textId="77777777" w:rsidR="0039721F" w:rsidRDefault="00000000">
            <w:pPr>
              <w:spacing w:after="40"/>
            </w:pPr>
            <w:r>
              <w:rPr>
                <w:sz w:val="18"/>
              </w:rPr>
              <w:t>ConvLSTM</w:t>
            </w:r>
          </w:p>
        </w:tc>
        <w:tc>
          <w:tcPr>
            <w:tcW w:w="4824" w:type="dxa"/>
          </w:tcPr>
          <w:p w14:paraId="5E6B4C85" w14:textId="77777777" w:rsidR="0039721F" w:rsidRDefault="00000000">
            <w:pPr>
              <w:spacing w:after="40"/>
            </w:pPr>
            <w:r>
              <w:rPr>
                <w:sz w:val="18"/>
              </w:rPr>
              <w:t>Convolutional Long Short‑Term Memory network</w:t>
            </w:r>
          </w:p>
        </w:tc>
      </w:tr>
      <w:tr w:rsidR="0039721F" w14:paraId="7B0A5B45" w14:textId="77777777">
        <w:trPr>
          <w:jc w:val="center"/>
        </w:trPr>
        <w:tc>
          <w:tcPr>
            <w:tcW w:w="4824" w:type="dxa"/>
          </w:tcPr>
          <w:p w14:paraId="64744CBB" w14:textId="77777777" w:rsidR="0039721F" w:rsidRDefault="00000000">
            <w:pPr>
              <w:spacing w:after="40"/>
            </w:pPr>
            <w:r>
              <w:rPr>
                <w:sz w:val="18"/>
              </w:rPr>
              <w:t>FRP</w:t>
            </w:r>
          </w:p>
        </w:tc>
        <w:tc>
          <w:tcPr>
            <w:tcW w:w="4824" w:type="dxa"/>
          </w:tcPr>
          <w:p w14:paraId="5CB085D0" w14:textId="77777777" w:rsidR="0039721F" w:rsidRDefault="00000000">
            <w:pPr>
              <w:spacing w:after="40"/>
            </w:pPr>
            <w:r>
              <w:rPr>
                <w:sz w:val="18"/>
              </w:rPr>
              <w:t>Fire Radiative Power (megawatts), a FIRMS fire‑intensity metric</w:t>
            </w:r>
          </w:p>
        </w:tc>
      </w:tr>
      <w:tr w:rsidR="0039721F" w14:paraId="3229A0AA" w14:textId="77777777">
        <w:trPr>
          <w:jc w:val="center"/>
        </w:trPr>
        <w:tc>
          <w:tcPr>
            <w:tcW w:w="4824" w:type="dxa"/>
          </w:tcPr>
          <w:p w14:paraId="575C56AF" w14:textId="77777777" w:rsidR="0039721F" w:rsidRDefault="00000000">
            <w:pPr>
              <w:spacing w:after="40"/>
            </w:pPr>
            <w:r>
              <w:rPr>
                <w:sz w:val="18"/>
              </w:rPr>
              <w:t>RMSE</w:t>
            </w:r>
          </w:p>
        </w:tc>
        <w:tc>
          <w:tcPr>
            <w:tcW w:w="4824" w:type="dxa"/>
          </w:tcPr>
          <w:p w14:paraId="0C7651B7" w14:textId="77777777" w:rsidR="0039721F" w:rsidRDefault="00000000">
            <w:pPr>
              <w:spacing w:after="40"/>
            </w:pPr>
            <w:r>
              <w:rPr>
                <w:sz w:val="18"/>
              </w:rPr>
              <w:t>Root Mean Square Error</w:t>
            </w:r>
          </w:p>
        </w:tc>
      </w:tr>
      <w:tr w:rsidR="0039721F" w14:paraId="5471C9B7" w14:textId="77777777">
        <w:trPr>
          <w:jc w:val="center"/>
        </w:trPr>
        <w:tc>
          <w:tcPr>
            <w:tcW w:w="4824" w:type="dxa"/>
          </w:tcPr>
          <w:p w14:paraId="020562AB" w14:textId="77777777" w:rsidR="0039721F" w:rsidRDefault="00000000">
            <w:pPr>
              <w:spacing w:after="40"/>
            </w:pPr>
            <w:r>
              <w:rPr>
                <w:sz w:val="18"/>
              </w:rPr>
              <w:t>Persistence baseline</w:t>
            </w:r>
          </w:p>
        </w:tc>
        <w:tc>
          <w:tcPr>
            <w:tcW w:w="4824" w:type="dxa"/>
          </w:tcPr>
          <w:p w14:paraId="23A6E37C" w14:textId="77777777" w:rsidR="0039721F" w:rsidRDefault="00000000">
            <w:pPr>
              <w:spacing w:after="40"/>
            </w:pPr>
            <w:r>
              <w:rPr>
                <w:sz w:val="18"/>
              </w:rPr>
              <w:t>Forecast = the last actually observed value at the same location</w:t>
            </w:r>
          </w:p>
        </w:tc>
      </w:tr>
      <w:tr w:rsidR="0039721F" w14:paraId="7C744139" w14:textId="77777777">
        <w:trPr>
          <w:jc w:val="center"/>
        </w:trPr>
        <w:tc>
          <w:tcPr>
            <w:tcW w:w="4824" w:type="dxa"/>
          </w:tcPr>
          <w:p w14:paraId="2C544EC5" w14:textId="77777777" w:rsidR="0039721F" w:rsidRDefault="00000000">
            <w:pPr>
              <w:spacing w:after="40"/>
            </w:pPr>
            <w:r>
              <w:rPr>
                <w:sz w:val="18"/>
              </w:rPr>
              <w:lastRenderedPageBreak/>
              <w:t>LangGraph</w:t>
            </w:r>
          </w:p>
        </w:tc>
        <w:tc>
          <w:tcPr>
            <w:tcW w:w="4824" w:type="dxa"/>
          </w:tcPr>
          <w:p w14:paraId="395E9483" w14:textId="77777777" w:rsidR="0039721F" w:rsidRDefault="00000000">
            <w:pPr>
              <w:spacing w:after="40"/>
            </w:pPr>
            <w:r>
              <w:rPr>
                <w:sz w:val="18"/>
              </w:rPr>
              <w:t>A graph‑based orchestration framework for multi‑step LLM/agent pipelines</w:t>
            </w:r>
          </w:p>
        </w:tc>
      </w:tr>
      <w:tr w:rsidR="0039721F" w14:paraId="54D7AD5B" w14:textId="77777777">
        <w:trPr>
          <w:jc w:val="center"/>
        </w:trPr>
        <w:tc>
          <w:tcPr>
            <w:tcW w:w="4824" w:type="dxa"/>
          </w:tcPr>
          <w:p w14:paraId="12F72D88" w14:textId="77777777" w:rsidR="0039721F" w:rsidRDefault="00000000">
            <w:pPr>
              <w:spacing w:after="40"/>
            </w:pPr>
            <w:r>
              <w:rPr>
                <w:sz w:val="18"/>
              </w:rPr>
              <w:t>GRAP</w:t>
            </w:r>
          </w:p>
        </w:tc>
        <w:tc>
          <w:tcPr>
            <w:tcW w:w="4824" w:type="dxa"/>
          </w:tcPr>
          <w:p w14:paraId="2F9A7DC5" w14:textId="77777777" w:rsidR="0039721F" w:rsidRDefault="00000000">
            <w:pPr>
              <w:spacing w:after="40"/>
            </w:pPr>
            <w:r>
              <w:rPr>
                <w:sz w:val="18"/>
              </w:rPr>
              <w:t>Graded Response Action Plan (Delhi NCR's threshold‑triggered pollution response system)</w:t>
            </w:r>
          </w:p>
        </w:tc>
      </w:tr>
    </w:tbl>
    <w:p w14:paraId="71225E23" w14:textId="77777777" w:rsidR="0039721F" w:rsidRDefault="0039721F">
      <w:pPr>
        <w:spacing w:after="80"/>
      </w:pPr>
    </w:p>
    <w:p w14:paraId="4E825C00" w14:textId="77777777" w:rsidR="0039721F" w:rsidRDefault="00000000">
      <w:pPr>
        <w:pStyle w:val="Heading2"/>
      </w:pPr>
      <w:r>
        <w:t>Appendix B — Repository Layout</w:t>
      </w:r>
    </w:p>
    <w:p w14:paraId="7A104C6E" w14:textId="77777777" w:rsidR="0039721F" w:rsidRDefault="00000000">
      <w:pPr>
        <w:spacing w:after="0"/>
        <w:ind w:left="360"/>
      </w:pPr>
      <w:r>
        <w:rPr>
          <w:rFonts w:ascii="Consolas" w:hAnsi="Consolas"/>
          <w:color w:val="2F2F2F"/>
          <w:sz w:val="18"/>
        </w:rPr>
        <w:t>.</w:t>
      </w:r>
    </w:p>
    <w:p w14:paraId="5E510F65" w14:textId="77777777" w:rsidR="0039721F" w:rsidRDefault="00000000">
      <w:pPr>
        <w:spacing w:after="0"/>
        <w:ind w:left="360"/>
      </w:pPr>
      <w:r>
        <w:rPr>
          <w:rFonts w:ascii="Consolas" w:hAnsi="Consolas"/>
          <w:color w:val="2F2F2F"/>
          <w:sz w:val="18"/>
        </w:rPr>
        <w:t>├── backend/</w:t>
      </w:r>
    </w:p>
    <w:p w14:paraId="66C88435" w14:textId="77777777" w:rsidR="0039721F" w:rsidRDefault="00000000">
      <w:pPr>
        <w:spacing w:after="0"/>
        <w:ind w:left="360"/>
      </w:pPr>
      <w:r>
        <w:rPr>
          <w:rFonts w:ascii="Consolas" w:hAnsi="Consolas"/>
          <w:color w:val="2F2F2F"/>
          <w:sz w:val="18"/>
        </w:rPr>
        <w:t>│   ├── app/</w:t>
      </w:r>
    </w:p>
    <w:p w14:paraId="3584E263" w14:textId="77777777" w:rsidR="0039721F" w:rsidRDefault="00000000">
      <w:pPr>
        <w:spacing w:after="0"/>
        <w:ind w:left="360"/>
      </w:pPr>
      <w:r>
        <w:rPr>
          <w:rFonts w:ascii="Consolas" w:hAnsi="Consolas"/>
          <w:color w:val="2F2F2F"/>
          <w:sz w:val="18"/>
        </w:rPr>
        <w:t>│   │   ├── core/          settings, DB session, CPCB bands</w:t>
      </w:r>
    </w:p>
    <w:p w14:paraId="45EDB07A" w14:textId="77777777" w:rsidR="0039721F" w:rsidRDefault="00000000">
      <w:pPr>
        <w:spacing w:after="0"/>
        <w:ind w:left="360"/>
      </w:pPr>
      <w:r>
        <w:rPr>
          <w:rFonts w:ascii="Consolas" w:hAnsi="Consolas"/>
          <w:color w:val="2F2F2F"/>
          <w:sz w:val="18"/>
        </w:rPr>
        <w:t>│   │   ├── api/routes/    HTTP route modules per domain</w:t>
      </w:r>
    </w:p>
    <w:p w14:paraId="4A982138" w14:textId="77777777" w:rsidR="0039721F" w:rsidRDefault="00000000">
      <w:pPr>
        <w:spacing w:after="0"/>
        <w:ind w:left="360"/>
      </w:pPr>
      <w:r>
        <w:rPr>
          <w:rFonts w:ascii="Consolas" w:hAnsi="Consolas"/>
          <w:color w:val="2F2F2F"/>
          <w:sz w:val="18"/>
        </w:rPr>
        <w:t>│   │   ├── ingestion/     five source pullers, city registry, scheduler</w:t>
      </w:r>
    </w:p>
    <w:p w14:paraId="493F4692" w14:textId="77777777" w:rsidR="0039721F" w:rsidRDefault="00000000">
      <w:pPr>
        <w:spacing w:after="0"/>
        <w:ind w:left="360"/>
      </w:pPr>
      <w:r>
        <w:rPr>
          <w:rFonts w:ascii="Consolas" w:hAnsi="Consolas"/>
          <w:color w:val="2F2F2F"/>
          <w:sz w:val="18"/>
        </w:rPr>
        <w:t>│   │   ├── geospatial/    grid generation, vectorized IDW</w:t>
      </w:r>
    </w:p>
    <w:p w14:paraId="1B833817" w14:textId="77777777" w:rsidR="0039721F" w:rsidRDefault="00000000">
      <w:pPr>
        <w:spacing w:after="0"/>
        <w:ind w:left="360"/>
      </w:pPr>
      <w:r>
        <w:rPr>
          <w:rFonts w:ascii="Consolas" w:hAnsi="Consolas"/>
          <w:color w:val="2F2F2F"/>
          <w:sz w:val="18"/>
        </w:rPr>
        <w:t>│   │   ├── features/      cube assembly, channel layout, manifest</w:t>
      </w:r>
    </w:p>
    <w:p w14:paraId="140B9729" w14:textId="77777777" w:rsidR="0039721F" w:rsidRDefault="00000000">
      <w:pPr>
        <w:spacing w:after="0"/>
        <w:ind w:left="360"/>
      </w:pPr>
      <w:r>
        <w:rPr>
          <w:rFonts w:ascii="Consolas" w:hAnsi="Consolas"/>
          <w:color w:val="2F2F2F"/>
          <w:sz w:val="18"/>
        </w:rPr>
        <w:t>│   │   ├── models/        ConvLSTM, dataset, training, inference</w:t>
      </w:r>
    </w:p>
    <w:p w14:paraId="1BB2BA57" w14:textId="77777777" w:rsidR="0039721F" w:rsidRDefault="00000000">
      <w:pPr>
        <w:spacing w:after="0"/>
        <w:ind w:left="360"/>
      </w:pPr>
      <w:r>
        <w:rPr>
          <w:rFonts w:ascii="Consolas" w:hAnsi="Consolas"/>
          <w:color w:val="2F2F2F"/>
          <w:sz w:val="18"/>
        </w:rPr>
        <w:t>│   │   ├── agents/        LangGraph graph, typed schemas, LLM wrapper</w:t>
      </w:r>
    </w:p>
    <w:p w14:paraId="32A36928" w14:textId="77777777" w:rsidR="0039721F" w:rsidRDefault="00000000">
      <w:pPr>
        <w:spacing w:after="0"/>
        <w:ind w:left="360"/>
      </w:pPr>
      <w:r>
        <w:rPr>
          <w:rFonts w:ascii="Consolas" w:hAnsi="Consolas"/>
          <w:color w:val="2F2F2F"/>
          <w:sz w:val="18"/>
        </w:rPr>
        <w:t>│   │   └── schemas/       Pydantic request/response models</w:t>
      </w:r>
    </w:p>
    <w:p w14:paraId="4205FD4C" w14:textId="77777777" w:rsidR="0039721F" w:rsidRDefault="00000000">
      <w:pPr>
        <w:spacing w:after="0"/>
        <w:ind w:left="360"/>
      </w:pPr>
      <w:r>
        <w:rPr>
          <w:rFonts w:ascii="Consolas" w:hAnsi="Consolas"/>
          <w:color w:val="2F2F2F"/>
          <w:sz w:val="18"/>
        </w:rPr>
        <w:t>│   ├── checkpoints/       trained model weights + metrics JSON</w:t>
      </w:r>
    </w:p>
    <w:p w14:paraId="7AD3174F" w14:textId="77777777" w:rsidR="0039721F" w:rsidRDefault="00000000">
      <w:pPr>
        <w:spacing w:after="0"/>
        <w:ind w:left="360"/>
      </w:pPr>
      <w:r>
        <w:rPr>
          <w:rFonts w:ascii="Consolas" w:hAnsi="Consolas"/>
          <w:color w:val="2F2F2F"/>
          <w:sz w:val="18"/>
        </w:rPr>
        <w:t>│   ├── scripts/           backfill, OSM pull, build</w:t>
      </w:r>
      <w:r>
        <w:rPr>
          <w:rFonts w:ascii="Cambria Math" w:hAnsi="Cambria Math" w:cs="Cambria Math"/>
          <w:color w:val="2F2F2F"/>
          <w:sz w:val="18"/>
        </w:rPr>
        <w:t>‑</w:t>
      </w:r>
      <w:r>
        <w:rPr>
          <w:rFonts w:ascii="Consolas" w:hAnsi="Consolas"/>
          <w:color w:val="2F2F2F"/>
          <w:sz w:val="18"/>
        </w:rPr>
        <w:t>and</w:t>
      </w:r>
      <w:r>
        <w:rPr>
          <w:rFonts w:ascii="Cambria Math" w:hAnsi="Cambria Math" w:cs="Cambria Math"/>
          <w:color w:val="2F2F2F"/>
          <w:sz w:val="18"/>
        </w:rPr>
        <w:t>‑</w:t>
      </w:r>
      <w:r>
        <w:rPr>
          <w:rFonts w:ascii="Consolas" w:hAnsi="Consolas"/>
          <w:color w:val="2F2F2F"/>
          <w:sz w:val="18"/>
        </w:rPr>
        <w:t>train pipeline</w:t>
      </w:r>
    </w:p>
    <w:p w14:paraId="0F323594" w14:textId="77777777" w:rsidR="0039721F" w:rsidRDefault="00000000">
      <w:pPr>
        <w:spacing w:after="0"/>
        <w:ind w:left="360"/>
      </w:pPr>
      <w:r>
        <w:rPr>
          <w:rFonts w:ascii="Consolas" w:hAnsi="Consolas"/>
          <w:color w:val="2F2F2F"/>
          <w:sz w:val="18"/>
        </w:rPr>
        <w:t>│   └── tests/             59 tests, all external HTTP mocked</w:t>
      </w:r>
    </w:p>
    <w:p w14:paraId="143E1641" w14:textId="77777777" w:rsidR="0039721F" w:rsidRDefault="00000000">
      <w:pPr>
        <w:spacing w:after="0"/>
        <w:ind w:left="360"/>
      </w:pPr>
      <w:r>
        <w:rPr>
          <w:rFonts w:ascii="Consolas" w:hAnsi="Consolas"/>
          <w:color w:val="2F2F2F"/>
          <w:sz w:val="18"/>
        </w:rPr>
        <w:t>├── frontend/</w:t>
      </w:r>
    </w:p>
    <w:p w14:paraId="2CE88AE4" w14:textId="77777777" w:rsidR="0039721F" w:rsidRDefault="00000000">
      <w:pPr>
        <w:spacing w:after="0"/>
        <w:ind w:left="360"/>
      </w:pPr>
      <w:r>
        <w:rPr>
          <w:rFonts w:ascii="Consolas" w:hAnsi="Consolas"/>
          <w:color w:val="2F2F2F"/>
          <w:sz w:val="18"/>
        </w:rPr>
        <w:t>│   ├── app/               8 App Router pages + layout/template</w:t>
      </w:r>
    </w:p>
    <w:p w14:paraId="7025070B" w14:textId="77777777" w:rsidR="0039721F" w:rsidRDefault="00000000">
      <w:pPr>
        <w:spacing w:after="0"/>
        <w:ind w:left="360"/>
      </w:pPr>
      <w:r>
        <w:rPr>
          <w:rFonts w:ascii="Consolas" w:hAnsi="Consolas"/>
          <w:color w:val="2F2F2F"/>
          <w:sz w:val="18"/>
        </w:rPr>
        <w:t>│   ├── components/        map, chart, panels, UI kit, motion kit</w:t>
      </w:r>
    </w:p>
    <w:p w14:paraId="578C365E" w14:textId="77777777" w:rsidR="0039721F" w:rsidRDefault="00000000">
      <w:pPr>
        <w:spacing w:after="0"/>
        <w:ind w:left="360"/>
      </w:pPr>
      <w:r>
        <w:rPr>
          <w:rFonts w:ascii="Consolas" w:hAnsi="Consolas"/>
          <w:color w:val="2F2F2F"/>
          <w:sz w:val="18"/>
        </w:rPr>
        <w:t>│   └── lib/                typed API client, CPCB bands, city/language config</w:t>
      </w:r>
    </w:p>
    <w:p w14:paraId="390E9A47" w14:textId="77777777" w:rsidR="0039721F" w:rsidRDefault="00000000">
      <w:pPr>
        <w:spacing w:after="0"/>
        <w:ind w:left="360"/>
      </w:pPr>
      <w:r>
        <w:rPr>
          <w:rFonts w:ascii="Consolas" w:hAnsi="Consolas"/>
          <w:color w:val="2F2F2F"/>
          <w:sz w:val="18"/>
        </w:rPr>
        <w:t>├── infra/postgres/        PostGIS</w:t>
      </w:r>
      <w:r>
        <w:rPr>
          <w:rFonts w:ascii="Cambria Math" w:hAnsi="Cambria Math" w:cs="Cambria Math"/>
          <w:color w:val="2F2F2F"/>
          <w:sz w:val="18"/>
        </w:rPr>
        <w:t>‑</w:t>
      </w:r>
      <w:r>
        <w:rPr>
          <w:rFonts w:ascii="Consolas" w:hAnsi="Consolas"/>
          <w:color w:val="2F2F2F"/>
          <w:sz w:val="18"/>
        </w:rPr>
        <w:t>enabling init script</w:t>
      </w:r>
    </w:p>
    <w:p w14:paraId="00415F60" w14:textId="77777777" w:rsidR="0039721F" w:rsidRDefault="00000000">
      <w:pPr>
        <w:spacing w:after="0"/>
        <w:ind w:left="360"/>
      </w:pPr>
      <w:r>
        <w:rPr>
          <w:rFonts w:ascii="Consolas" w:hAnsi="Consolas"/>
          <w:color w:val="2F2F2F"/>
          <w:sz w:val="18"/>
        </w:rPr>
        <w:t>├── docs/                  architecture, build plan, demo script, this document</w:t>
      </w:r>
    </w:p>
    <w:p w14:paraId="66F4A796" w14:textId="77777777" w:rsidR="0039721F" w:rsidRDefault="00000000">
      <w:pPr>
        <w:spacing w:after="0"/>
        <w:ind w:left="360"/>
      </w:pPr>
      <w:r>
        <w:rPr>
          <w:rFonts w:ascii="Consolas" w:hAnsi="Consolas"/>
          <w:color w:val="2F2F2F"/>
          <w:sz w:val="18"/>
        </w:rPr>
        <w:t>└── SITEMAP.md             frontend route ↔ backend endpoint contract</w:t>
      </w:r>
    </w:p>
    <w:p w14:paraId="52CE0ACC" w14:textId="77777777" w:rsidR="0039721F" w:rsidRDefault="00000000">
      <w:pPr>
        <w:pStyle w:val="Heading2"/>
      </w:pPr>
      <w:r>
        <w:t>Appendix C — Key Environment Variables</w:t>
      </w:r>
    </w:p>
    <w:p w14:paraId="45810C26" w14:textId="77777777" w:rsidR="0039721F" w:rsidRDefault="00000000">
      <w:r>
        <w:rPr>
          <w:rFonts w:ascii="Consolas" w:hAnsi="Consolas"/>
          <w:color w:val="8A2B2B"/>
          <w:sz w:val="19"/>
        </w:rPr>
        <w:t>DATABASE_URL</w:t>
      </w:r>
      <w:r>
        <w:t xml:space="preserve">, </w:t>
      </w:r>
      <w:r>
        <w:rPr>
          <w:rFonts w:ascii="Consolas" w:hAnsi="Consolas"/>
          <w:color w:val="8A2B2B"/>
          <w:sz w:val="19"/>
        </w:rPr>
        <w:t>REDIS_URL</w:t>
      </w:r>
      <w:r>
        <w:t xml:space="preserve">, </w:t>
      </w:r>
      <w:r>
        <w:rPr>
          <w:rFonts w:ascii="Consolas" w:hAnsi="Consolas"/>
          <w:color w:val="8A2B2B"/>
          <w:sz w:val="19"/>
        </w:rPr>
        <w:t>OPENAQ_API_KEY</w:t>
      </w:r>
      <w:r>
        <w:t xml:space="preserve">, </w:t>
      </w:r>
      <w:r>
        <w:rPr>
          <w:rFonts w:ascii="Consolas" w:hAnsi="Consolas"/>
          <w:color w:val="8A2B2B"/>
          <w:sz w:val="19"/>
        </w:rPr>
        <w:t>NASA_FIRMS_MAP_KEY</w:t>
      </w:r>
      <w:r>
        <w:t xml:space="preserve">, </w:t>
      </w:r>
      <w:r>
        <w:rPr>
          <w:rFonts w:ascii="Consolas" w:hAnsi="Consolas"/>
          <w:color w:val="8A2B2B"/>
          <w:sz w:val="19"/>
        </w:rPr>
        <w:t>COPERNICUS_CDSE_USERNAME</w:t>
      </w:r>
      <w:r>
        <w:t>/</w:t>
      </w:r>
      <w:r>
        <w:rPr>
          <w:rFonts w:ascii="Consolas" w:hAnsi="Consolas"/>
          <w:color w:val="8A2B2B"/>
          <w:sz w:val="19"/>
        </w:rPr>
        <w:t>PASSWORD</w:t>
      </w:r>
      <w:r>
        <w:t xml:space="preserve">, </w:t>
      </w:r>
      <w:r>
        <w:rPr>
          <w:rFonts w:ascii="Consolas" w:hAnsi="Consolas"/>
          <w:color w:val="8A2B2B"/>
          <w:sz w:val="19"/>
        </w:rPr>
        <w:t>LLM_PROVIDER</w:t>
      </w:r>
      <w:r>
        <w:t xml:space="preserve"> (</w:t>
      </w:r>
      <w:r>
        <w:rPr>
          <w:rFonts w:ascii="Consolas" w:hAnsi="Consolas"/>
          <w:color w:val="8A2B2B"/>
          <w:sz w:val="19"/>
        </w:rPr>
        <w:t>groq</w:t>
      </w:r>
      <w:r>
        <w:t>|</w:t>
      </w:r>
      <w:r>
        <w:rPr>
          <w:rFonts w:ascii="Consolas" w:hAnsi="Consolas"/>
          <w:color w:val="8A2B2B"/>
          <w:sz w:val="19"/>
        </w:rPr>
        <w:t>anthropic</w:t>
      </w:r>
      <w:r>
        <w:t xml:space="preserve">), </w:t>
      </w:r>
      <w:r>
        <w:rPr>
          <w:rFonts w:ascii="Consolas" w:hAnsi="Consolas"/>
          <w:color w:val="8A2B2B"/>
          <w:sz w:val="19"/>
        </w:rPr>
        <w:t>GROQ_API_KEY</w:t>
      </w:r>
      <w:r>
        <w:t xml:space="preserve">, </w:t>
      </w:r>
      <w:r>
        <w:rPr>
          <w:rFonts w:ascii="Consolas" w:hAnsi="Consolas"/>
          <w:color w:val="8A2B2B"/>
          <w:sz w:val="19"/>
        </w:rPr>
        <w:t>ANTHROPIC_API_KEY</w:t>
      </w:r>
      <w:r>
        <w:t xml:space="preserve">, </w:t>
      </w:r>
      <w:r>
        <w:rPr>
          <w:rFonts w:ascii="Consolas" w:hAnsi="Consolas"/>
          <w:color w:val="8A2B2B"/>
          <w:sz w:val="19"/>
        </w:rPr>
        <w:t>BACKEND_CORS_ORIGINS</w:t>
      </w:r>
      <w:r>
        <w:t xml:space="preserve">. Every LLM‑dependent feature has a deterministic fallback, so </w:t>
      </w:r>
      <w:r>
        <w:rPr>
          <w:rFonts w:ascii="Consolas" w:hAnsi="Consolas"/>
          <w:color w:val="8A2B2B"/>
          <w:sz w:val="19"/>
        </w:rPr>
        <w:t>GROQ_API_KEY</w:t>
      </w:r>
      <w:r>
        <w:t>/</w:t>
      </w:r>
      <w:r>
        <w:rPr>
          <w:rFonts w:ascii="Consolas" w:hAnsi="Consolas"/>
          <w:color w:val="8A2B2B"/>
          <w:sz w:val="19"/>
        </w:rPr>
        <w:t>ANTHROPIC_API_KEY</w:t>
      </w:r>
      <w:r>
        <w:t xml:space="preserve"> are the only genuinely optional keys in the list.</w:t>
      </w:r>
    </w:p>
    <w:p w14:paraId="02BBF80F" w14:textId="77777777" w:rsidR="0039721F" w:rsidRDefault="00000000">
      <w:pPr>
        <w:pStyle w:val="Heading2"/>
      </w:pPr>
      <w:r>
        <w:t>Appendix D — How to Run the Prototype</w:t>
      </w:r>
    </w:p>
    <w:p w14:paraId="0027FA4C" w14:textId="77777777" w:rsidR="0039721F" w:rsidRDefault="00000000">
      <w:pPr>
        <w:spacing w:after="0"/>
        <w:ind w:left="360"/>
      </w:pPr>
      <w:r>
        <w:rPr>
          <w:rFonts w:ascii="Consolas" w:hAnsi="Consolas"/>
          <w:color w:val="2F2F2F"/>
          <w:sz w:val="18"/>
        </w:rPr>
        <w:t>cp .env.example .env                 # fill in free-tier keys as available</w:t>
      </w:r>
    </w:p>
    <w:p w14:paraId="18B9D47C" w14:textId="77777777" w:rsidR="0039721F" w:rsidRDefault="00000000">
      <w:pPr>
        <w:spacing w:after="0"/>
        <w:ind w:left="360"/>
      </w:pPr>
      <w:r>
        <w:rPr>
          <w:rFonts w:ascii="Consolas" w:hAnsi="Consolas"/>
          <w:color w:val="2F2F2F"/>
          <w:sz w:val="18"/>
        </w:rPr>
        <w:t>docker compose up -d                 # PostGIS :5433, Redis :6379</w:t>
      </w:r>
    </w:p>
    <w:p w14:paraId="2C195D3A" w14:textId="77777777" w:rsidR="0039721F" w:rsidRDefault="00000000">
      <w:pPr>
        <w:spacing w:after="0"/>
        <w:ind w:left="360"/>
      </w:pPr>
      <w:r>
        <w:rPr>
          <w:rFonts w:ascii="Consolas" w:hAnsi="Consolas"/>
          <w:color w:val="2F2F2F"/>
          <w:sz w:val="18"/>
        </w:rPr>
        <w:t>cd backend &amp;&amp; pip install -r requirements.txt &amp;&amp; uvicorn app.main:app --reload --port 8000</w:t>
      </w:r>
    </w:p>
    <w:p w14:paraId="641A4EE3" w14:textId="77777777" w:rsidR="0039721F" w:rsidRDefault="00000000">
      <w:pPr>
        <w:spacing w:after="0"/>
        <w:ind w:left="360"/>
      </w:pPr>
      <w:r>
        <w:rPr>
          <w:rFonts w:ascii="Consolas" w:hAnsi="Consolas"/>
          <w:color w:val="2F2F2F"/>
          <w:sz w:val="18"/>
        </w:rPr>
        <w:t>cd frontend &amp;&amp; npm install &amp;&amp; npm run dev   # http://localhost:3000</w:t>
      </w:r>
    </w:p>
    <w:p w14:paraId="60514BFB" w14:textId="77777777" w:rsidR="0039721F" w:rsidRDefault="00000000">
      <w:r>
        <w:t xml:space="preserve">Full sanity checklist and common setup traps: </w:t>
      </w:r>
      <w:r>
        <w:rPr>
          <w:rFonts w:ascii="Consolas" w:hAnsi="Consolas"/>
          <w:color w:val="8A2B2B"/>
          <w:sz w:val="19"/>
        </w:rPr>
        <w:t>docs/TEAM_SETUP.md</w:t>
      </w:r>
      <w:r>
        <w:t>.</w:t>
      </w:r>
    </w:p>
    <w:sectPr w:rsidR="0039721F"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2771599">
    <w:abstractNumId w:val="8"/>
  </w:num>
  <w:num w:numId="2" w16cid:durableId="1979266368">
    <w:abstractNumId w:val="6"/>
  </w:num>
  <w:num w:numId="3" w16cid:durableId="1755664431">
    <w:abstractNumId w:val="5"/>
  </w:num>
  <w:num w:numId="4" w16cid:durableId="1031801822">
    <w:abstractNumId w:val="4"/>
  </w:num>
  <w:num w:numId="5" w16cid:durableId="614604667">
    <w:abstractNumId w:val="7"/>
  </w:num>
  <w:num w:numId="6" w16cid:durableId="1439712444">
    <w:abstractNumId w:val="3"/>
  </w:num>
  <w:num w:numId="7" w16cid:durableId="615217487">
    <w:abstractNumId w:val="2"/>
  </w:num>
  <w:num w:numId="8" w16cid:durableId="259724023">
    <w:abstractNumId w:val="1"/>
  </w:num>
  <w:num w:numId="9" w16cid:durableId="270745184">
    <w:abstractNumId w:val="0"/>
  </w:num>
  <w:num w:numId="10" w16cid:durableId="1256785222">
    <w:abstractNumId w:val="7"/>
    <w:lvlOverride w:ilvl="0">
      <w:startOverride w:val="1"/>
    </w:lvlOverride>
  </w:num>
  <w:num w:numId="11" w16cid:durableId="955595906">
    <w:abstractNumId w:val="7"/>
    <w:lvlOverride w:ilvl="0">
      <w:startOverride w:val="1"/>
    </w:lvlOverride>
  </w:num>
  <w:num w:numId="12" w16cid:durableId="1221015615">
    <w:abstractNumId w:val="7"/>
    <w:lvlOverride w:ilvl="0">
      <w:startOverride w:val="1"/>
    </w:lvlOverride>
  </w:num>
  <w:num w:numId="13" w16cid:durableId="137919482">
    <w:abstractNumId w:val="7"/>
    <w:lvlOverride w:ilvl="0">
      <w:startOverride w:val="1"/>
    </w:lvlOverride>
  </w:num>
  <w:num w:numId="14" w16cid:durableId="1552377739">
    <w:abstractNumId w:val="7"/>
    <w:lvlOverride w:ilvl="0">
      <w:startOverride w:val="1"/>
    </w:lvlOverride>
  </w:num>
  <w:num w:numId="15" w16cid:durableId="851529220">
    <w:abstractNumId w:val="7"/>
    <w:lvlOverride w:ilvl="0">
      <w:startOverride w:val="1"/>
    </w:lvlOverride>
  </w:num>
  <w:num w:numId="16" w16cid:durableId="872229807">
    <w:abstractNumId w:val="7"/>
    <w:lvlOverride w:ilvl="0">
      <w:startOverride w:val="1"/>
    </w:lvlOverride>
  </w:num>
  <w:num w:numId="17" w16cid:durableId="1369140524">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7E4D"/>
    <w:rsid w:val="0029639D"/>
    <w:rsid w:val="00326F90"/>
    <w:rsid w:val="0039721F"/>
    <w:rsid w:val="00477FDF"/>
    <w:rsid w:val="007004A9"/>
    <w:rsid w:val="00AA1D8D"/>
    <w:rsid w:val="00B47730"/>
    <w:rsid w:val="00C204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F53CFC"/>
  <w14:defaultImageDpi w14:val="300"/>
  <w15:docId w15:val="{C7340C63-7967-4ACD-87CB-D93984E5F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FDF"/>
  </w:style>
  <w:style w:type="paragraph" w:styleId="Heading1">
    <w:name w:val="heading 1"/>
    <w:basedOn w:val="Normal"/>
    <w:next w:val="Normal"/>
    <w:link w:val="Heading1Char"/>
    <w:uiPriority w:val="9"/>
    <w:qFormat/>
    <w:rsid w:val="00477FDF"/>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477FDF"/>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477FDF"/>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477FDF"/>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477FDF"/>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477FDF"/>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477FDF"/>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477FD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477FDF"/>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477FDF"/>
    <w:pPr>
      <w:spacing w:after="0" w:line="240" w:lineRule="auto"/>
    </w:pPr>
  </w:style>
  <w:style w:type="character" w:customStyle="1" w:styleId="Heading1Char">
    <w:name w:val="Heading 1 Char"/>
    <w:basedOn w:val="DefaultParagraphFont"/>
    <w:link w:val="Heading1"/>
    <w:uiPriority w:val="9"/>
    <w:rsid w:val="00477FDF"/>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477FDF"/>
    <w:rPr>
      <w:caps/>
      <w:spacing w:val="15"/>
      <w:shd w:val="clear" w:color="auto" w:fill="DBE5F1" w:themeFill="accent1" w:themeFillTint="33"/>
    </w:rPr>
  </w:style>
  <w:style w:type="character" w:customStyle="1" w:styleId="Heading3Char">
    <w:name w:val="Heading 3 Char"/>
    <w:basedOn w:val="DefaultParagraphFont"/>
    <w:link w:val="Heading3"/>
    <w:uiPriority w:val="9"/>
    <w:rsid w:val="00477FDF"/>
    <w:rPr>
      <w:caps/>
      <w:color w:val="243F60" w:themeColor="accent1" w:themeShade="7F"/>
      <w:spacing w:val="15"/>
    </w:rPr>
  </w:style>
  <w:style w:type="paragraph" w:styleId="Title">
    <w:name w:val="Title"/>
    <w:basedOn w:val="Normal"/>
    <w:next w:val="Normal"/>
    <w:link w:val="TitleChar"/>
    <w:uiPriority w:val="10"/>
    <w:qFormat/>
    <w:rsid w:val="00477FDF"/>
    <w:pPr>
      <w:spacing w:before="0" w:after="0"/>
    </w:pPr>
    <w:rPr>
      <w:rFonts w:asciiTheme="majorHAnsi" w:eastAsiaTheme="majorEastAsia" w:hAnsiTheme="majorHAnsi" w:cstheme="majorBidi"/>
      <w:caps/>
      <w:color w:val="4F81BD" w:themeColor="accent1"/>
      <w:spacing w:val="10"/>
      <w:sz w:val="52"/>
      <w:szCs w:val="52"/>
    </w:rPr>
  </w:style>
  <w:style w:type="character" w:customStyle="1" w:styleId="TitleChar">
    <w:name w:val="Title Char"/>
    <w:basedOn w:val="DefaultParagraphFont"/>
    <w:link w:val="Title"/>
    <w:uiPriority w:val="10"/>
    <w:rsid w:val="00477FDF"/>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477FD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477FDF"/>
    <w:rPr>
      <w:caps/>
      <w:color w:val="595959" w:themeColor="text1" w:themeTint="A6"/>
      <w:spacing w:val="10"/>
      <w:sz w:val="21"/>
      <w:szCs w:val="21"/>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477FDF"/>
    <w:rPr>
      <w:i/>
      <w:iCs/>
      <w:sz w:val="24"/>
      <w:szCs w:val="24"/>
    </w:rPr>
  </w:style>
  <w:style w:type="character" w:customStyle="1" w:styleId="QuoteChar">
    <w:name w:val="Quote Char"/>
    <w:basedOn w:val="DefaultParagraphFont"/>
    <w:link w:val="Quote"/>
    <w:uiPriority w:val="29"/>
    <w:rsid w:val="00477FDF"/>
    <w:rPr>
      <w:i/>
      <w:iCs/>
      <w:sz w:val="24"/>
      <w:szCs w:val="24"/>
    </w:rPr>
  </w:style>
  <w:style w:type="character" w:customStyle="1" w:styleId="Heading4Char">
    <w:name w:val="Heading 4 Char"/>
    <w:basedOn w:val="DefaultParagraphFont"/>
    <w:link w:val="Heading4"/>
    <w:uiPriority w:val="9"/>
    <w:semiHidden/>
    <w:rsid w:val="00477FDF"/>
    <w:rPr>
      <w:caps/>
      <w:color w:val="365F91" w:themeColor="accent1" w:themeShade="BF"/>
      <w:spacing w:val="10"/>
    </w:rPr>
  </w:style>
  <w:style w:type="character" w:customStyle="1" w:styleId="Heading5Char">
    <w:name w:val="Heading 5 Char"/>
    <w:basedOn w:val="DefaultParagraphFont"/>
    <w:link w:val="Heading5"/>
    <w:uiPriority w:val="9"/>
    <w:semiHidden/>
    <w:rsid w:val="00477FDF"/>
    <w:rPr>
      <w:caps/>
      <w:color w:val="365F91" w:themeColor="accent1" w:themeShade="BF"/>
      <w:spacing w:val="10"/>
    </w:rPr>
  </w:style>
  <w:style w:type="character" w:customStyle="1" w:styleId="Heading6Char">
    <w:name w:val="Heading 6 Char"/>
    <w:basedOn w:val="DefaultParagraphFont"/>
    <w:link w:val="Heading6"/>
    <w:uiPriority w:val="9"/>
    <w:semiHidden/>
    <w:rsid w:val="00477FDF"/>
    <w:rPr>
      <w:caps/>
      <w:color w:val="365F91" w:themeColor="accent1" w:themeShade="BF"/>
      <w:spacing w:val="10"/>
    </w:rPr>
  </w:style>
  <w:style w:type="character" w:customStyle="1" w:styleId="Heading7Char">
    <w:name w:val="Heading 7 Char"/>
    <w:basedOn w:val="DefaultParagraphFont"/>
    <w:link w:val="Heading7"/>
    <w:uiPriority w:val="9"/>
    <w:semiHidden/>
    <w:rsid w:val="00477FDF"/>
    <w:rPr>
      <w:caps/>
      <w:color w:val="365F91" w:themeColor="accent1" w:themeShade="BF"/>
      <w:spacing w:val="10"/>
    </w:rPr>
  </w:style>
  <w:style w:type="character" w:customStyle="1" w:styleId="Heading8Char">
    <w:name w:val="Heading 8 Char"/>
    <w:basedOn w:val="DefaultParagraphFont"/>
    <w:link w:val="Heading8"/>
    <w:uiPriority w:val="9"/>
    <w:semiHidden/>
    <w:rsid w:val="00477FDF"/>
    <w:rPr>
      <w:caps/>
      <w:spacing w:val="10"/>
      <w:sz w:val="18"/>
      <w:szCs w:val="18"/>
    </w:rPr>
  </w:style>
  <w:style w:type="character" w:customStyle="1" w:styleId="Heading9Char">
    <w:name w:val="Heading 9 Char"/>
    <w:basedOn w:val="DefaultParagraphFont"/>
    <w:link w:val="Heading9"/>
    <w:uiPriority w:val="9"/>
    <w:semiHidden/>
    <w:rsid w:val="00477FDF"/>
    <w:rPr>
      <w:i/>
      <w:iCs/>
      <w:caps/>
      <w:spacing w:val="10"/>
      <w:sz w:val="18"/>
      <w:szCs w:val="18"/>
    </w:rPr>
  </w:style>
  <w:style w:type="paragraph" w:styleId="Caption">
    <w:name w:val="caption"/>
    <w:basedOn w:val="Normal"/>
    <w:next w:val="Normal"/>
    <w:uiPriority w:val="35"/>
    <w:semiHidden/>
    <w:unhideWhenUsed/>
    <w:qFormat/>
    <w:rsid w:val="00477FDF"/>
    <w:rPr>
      <w:b/>
      <w:bCs/>
      <w:color w:val="365F91" w:themeColor="accent1" w:themeShade="BF"/>
      <w:sz w:val="16"/>
      <w:szCs w:val="16"/>
    </w:rPr>
  </w:style>
  <w:style w:type="character" w:styleId="Strong">
    <w:name w:val="Strong"/>
    <w:uiPriority w:val="22"/>
    <w:qFormat/>
    <w:rsid w:val="00477FDF"/>
    <w:rPr>
      <w:b/>
      <w:bCs/>
    </w:rPr>
  </w:style>
  <w:style w:type="character" w:styleId="Emphasis">
    <w:name w:val="Emphasis"/>
    <w:uiPriority w:val="20"/>
    <w:qFormat/>
    <w:rsid w:val="00477FDF"/>
    <w:rPr>
      <w:caps/>
      <w:color w:val="243F60" w:themeColor="accent1" w:themeShade="7F"/>
      <w:spacing w:val="5"/>
    </w:rPr>
  </w:style>
  <w:style w:type="paragraph" w:styleId="IntenseQuote">
    <w:name w:val="Intense Quote"/>
    <w:basedOn w:val="Normal"/>
    <w:next w:val="Normal"/>
    <w:link w:val="IntenseQuoteChar"/>
    <w:uiPriority w:val="30"/>
    <w:qFormat/>
    <w:rsid w:val="00477FDF"/>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477FDF"/>
    <w:rPr>
      <w:color w:val="4F81BD" w:themeColor="accent1"/>
      <w:sz w:val="24"/>
      <w:szCs w:val="24"/>
    </w:rPr>
  </w:style>
  <w:style w:type="character" w:styleId="SubtleEmphasis">
    <w:name w:val="Subtle Emphasis"/>
    <w:uiPriority w:val="19"/>
    <w:qFormat/>
    <w:rsid w:val="00477FDF"/>
    <w:rPr>
      <w:i/>
      <w:iCs/>
      <w:color w:val="243F60" w:themeColor="accent1" w:themeShade="7F"/>
    </w:rPr>
  </w:style>
  <w:style w:type="character" w:styleId="IntenseEmphasis">
    <w:name w:val="Intense Emphasis"/>
    <w:uiPriority w:val="21"/>
    <w:qFormat/>
    <w:rsid w:val="00477FDF"/>
    <w:rPr>
      <w:b/>
      <w:bCs/>
      <w:caps/>
      <w:color w:val="243F60" w:themeColor="accent1" w:themeShade="7F"/>
      <w:spacing w:val="10"/>
    </w:rPr>
  </w:style>
  <w:style w:type="character" w:styleId="SubtleReference">
    <w:name w:val="Subtle Reference"/>
    <w:uiPriority w:val="31"/>
    <w:qFormat/>
    <w:rsid w:val="00477FDF"/>
    <w:rPr>
      <w:b/>
      <w:bCs/>
      <w:color w:val="4F81BD" w:themeColor="accent1"/>
    </w:rPr>
  </w:style>
  <w:style w:type="character" w:styleId="IntenseReference">
    <w:name w:val="Intense Reference"/>
    <w:uiPriority w:val="32"/>
    <w:qFormat/>
    <w:rsid w:val="00477FDF"/>
    <w:rPr>
      <w:b/>
      <w:bCs/>
      <w:i/>
      <w:iCs/>
      <w:caps/>
      <w:color w:val="4F81BD" w:themeColor="accent1"/>
    </w:rPr>
  </w:style>
  <w:style w:type="character" w:styleId="BookTitle">
    <w:name w:val="Book Title"/>
    <w:uiPriority w:val="33"/>
    <w:qFormat/>
    <w:rsid w:val="00477FDF"/>
    <w:rPr>
      <w:b/>
      <w:bCs/>
      <w:i/>
      <w:iCs/>
      <w:spacing w:val="0"/>
    </w:rPr>
  </w:style>
  <w:style w:type="paragraph" w:styleId="TOCHeading">
    <w:name w:val="TOC Heading"/>
    <w:basedOn w:val="Heading1"/>
    <w:next w:val="Normal"/>
    <w:uiPriority w:val="39"/>
    <w:semiHidden/>
    <w:unhideWhenUsed/>
    <w:qFormat/>
    <w:rsid w:val="00477FD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004A9"/>
    <w:rPr>
      <w:color w:val="0000FF" w:themeColor="hyperlink"/>
      <w:u w:val="single"/>
    </w:rPr>
  </w:style>
  <w:style w:type="character" w:styleId="UnresolvedMention">
    <w:name w:val="Unresolved Mention"/>
    <w:basedOn w:val="DefaultParagraphFont"/>
    <w:uiPriority w:val="99"/>
    <w:semiHidden/>
    <w:unhideWhenUsed/>
    <w:rsid w:val="007004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eta-liard-nine.vercel.ap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github.com/madhav-gfn/ET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25</Pages>
  <Words>11675</Words>
  <Characters>66549</Characters>
  <Application>Microsoft Office Word</Application>
  <DocSecurity>0</DocSecurity>
  <Lines>554</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 mishra</cp:lastModifiedBy>
  <cp:revision>3</cp:revision>
  <dcterms:created xsi:type="dcterms:W3CDTF">2013-12-23T23:15:00Z</dcterms:created>
  <dcterms:modified xsi:type="dcterms:W3CDTF">2026-07-21T21:54:00Z</dcterms:modified>
  <cp:category/>
</cp:coreProperties>
</file>