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264" w:lineRule="auto"/>
      </w:pPr>
      <w:r>
        <w:rPr>
          <w:rFonts w:ascii="Calibri" w:hAnsi="Calibri"/>
          <w:b/>
          <w:i w:val="0"/>
          <w:color w:val="2E74B5"/>
          <w:sz w:val="20"/>
        </w:rPr>
        <w:t>FOUNDING AI ENGINEER ASSIGNMENT</w:t>
      </w:r>
    </w:p>
    <w:p>
      <w:pPr>
        <w:spacing w:before="280" w:after="60" w:line="264" w:lineRule="auto"/>
      </w:pPr>
      <w:r>
        <w:rPr>
          <w:rFonts w:ascii="Calibri" w:hAnsi="Calibri"/>
          <w:b/>
          <w:i w:val="0"/>
          <w:color w:val="1D2530"/>
          <w:sz w:val="60"/>
        </w:rPr>
        <w:t>ChangeScope</w:t>
      </w:r>
    </w:p>
    <w:p>
      <w:pPr>
        <w:spacing w:before="0" w:after="360" w:line="264" w:lineRule="auto"/>
      </w:pPr>
      <w:r>
        <w:rPr>
          <w:rFonts w:ascii="Calibri" w:hAnsi="Calibri"/>
          <w:b w:val="0"/>
          <w:i w:val="0"/>
          <w:color w:val="5E6875"/>
          <w:sz w:val="28"/>
        </w:rPr>
        <w:t>An evidence-first planner for safe, multi-file engineering changes</w:t>
      </w:r>
    </w:p>
    <w:tbl>
      <w:tblPr>
        <w:tblW w:type="dxa" w:w="9360"/>
        <w:jc w:val="left"/>
        <w:tblLayout w:type="fixed"/>
        <w:tblLook w:firstColumn="1" w:firstRow="1" w:lastColumn="0" w:lastRow="0" w:noHBand="0" w:noVBand="1" w:val="04A0"/>
        <w:tblInd w:w="120" w:type="dxa"/>
      </w:tblPr>
      <w:tblGrid>
        <w:gridCol w:w="4680"/>
        <w:gridCol w:w="4680"/>
      </w:tblGrid>
      <w:tr>
        <w:tc>
          <w:tcPr>
            <w:tcW w:type="dxa" w:w="1400"/>
            <w:tcMar>
              <w:top w:w="80" w:type="dxa"/>
              <w:start w:w="120" w:type="dxa"/>
              <w:bottom w:w="80" w:type="dxa"/>
              <w:end w:w="120" w:type="dxa"/>
            </w:tcMar>
            <w:vAlign w:val="center"/>
            <w:shd w:fill="E8EEF5"/>
          </w:tcPr>
          <w:p>
            <w:r/>
            <w:r>
              <w:rPr>
                <w:rFonts w:ascii="Calibri" w:hAnsi="Calibri"/>
                <w:b/>
                <w:color w:val="1F4D78"/>
                <w:sz w:val="20"/>
              </w:rPr>
              <w:t>Candidate</w:t>
            </w:r>
          </w:p>
        </w:tc>
        <w:tc>
          <w:tcPr>
            <w:tcW w:type="dxa" w:w="7960"/>
            <w:tcMar>
              <w:top w:w="80" w:type="dxa"/>
              <w:start w:w="120" w:type="dxa"/>
              <w:bottom w:w="80" w:type="dxa"/>
              <w:end w:w="120" w:type="dxa"/>
            </w:tcMar>
            <w:vAlign w:val="center"/>
          </w:tcPr>
          <w:p>
            <w:r/>
            <w:r>
              <w:rPr>
                <w:rFonts w:ascii="Calibri" w:hAnsi="Calibri"/>
                <w:color w:val="1D2530"/>
                <w:sz w:val="20"/>
              </w:rPr>
              <w:t>Madhavik Dogra</w:t>
            </w:r>
          </w:p>
        </w:tc>
      </w:tr>
      <w:tr>
        <w:tc>
          <w:tcPr>
            <w:tcW w:type="dxa" w:w="1400"/>
            <w:tcMar>
              <w:top w:w="80" w:type="dxa"/>
              <w:start w:w="120" w:type="dxa"/>
              <w:bottom w:w="80" w:type="dxa"/>
              <w:end w:w="120" w:type="dxa"/>
            </w:tcMar>
            <w:vAlign w:val="center"/>
            <w:shd w:fill="E8EEF5"/>
          </w:tcPr>
          <w:p>
            <w:r/>
            <w:r>
              <w:rPr>
                <w:rFonts w:ascii="Calibri" w:hAnsi="Calibri"/>
                <w:b/>
                <w:color w:val="1F4D78"/>
                <w:sz w:val="20"/>
              </w:rPr>
              <w:t>Repository</w:t>
            </w:r>
          </w:p>
        </w:tc>
        <w:tc>
          <w:tcPr>
            <w:tcW w:type="dxa" w:w="7960"/>
            <w:tcMar>
              <w:top w:w="80" w:type="dxa"/>
              <w:start w:w="120" w:type="dxa"/>
              <w:bottom w:w="80" w:type="dxa"/>
              <w:end w:w="120" w:type="dxa"/>
            </w:tcMar>
            <w:vAlign w:val="center"/>
          </w:tcPr>
          <w:p>
            <w:r/>
            <w:r>
              <w:rPr>
                <w:rFonts w:ascii="Calibri" w:hAnsi="Calibri"/>
                <w:color w:val="1D2530"/>
                <w:sz w:val="20"/>
              </w:rPr>
              <w:t>[Add GitHub repository URL before submission]</w:t>
            </w:r>
          </w:p>
        </w:tc>
      </w:tr>
      <w:tr>
        <w:tc>
          <w:tcPr>
            <w:tcW w:type="dxa" w:w="1400"/>
            <w:tcMar>
              <w:top w:w="80" w:type="dxa"/>
              <w:start w:w="120" w:type="dxa"/>
              <w:bottom w:w="80" w:type="dxa"/>
              <w:end w:w="120" w:type="dxa"/>
            </w:tcMar>
            <w:vAlign w:val="center"/>
            <w:shd w:fill="E8EEF5"/>
          </w:tcPr>
          <w:p>
            <w:r/>
            <w:r>
              <w:rPr>
                <w:rFonts w:ascii="Calibri" w:hAnsi="Calibri"/>
                <w:b/>
                <w:color w:val="1F4D78"/>
                <w:sz w:val="20"/>
              </w:rPr>
              <w:t>Deployment</w:t>
            </w:r>
          </w:p>
        </w:tc>
        <w:tc>
          <w:tcPr>
            <w:tcW w:type="dxa" w:w="7960"/>
            <w:tcMar>
              <w:top w:w="80" w:type="dxa"/>
              <w:start w:w="120" w:type="dxa"/>
              <w:bottom w:w="80" w:type="dxa"/>
              <w:end w:w="120" w:type="dxa"/>
            </w:tcMar>
            <w:vAlign w:val="center"/>
          </w:tcPr>
          <w:p>
            <w:r/>
            <w:r>
              <w:rPr>
                <w:rFonts w:ascii="Calibri" w:hAnsi="Calibri"/>
                <w:color w:val="1D2530"/>
                <w:sz w:val="20"/>
              </w:rPr>
              <w:t>[Add Vercel deployment URL before submission]</w:t>
            </w:r>
          </w:p>
        </w:tc>
      </w:tr>
    </w:tbl>
    <w:p>
      <w:pPr>
        <w:pStyle w:val="Heading1"/>
      </w:pPr>
      <w:r>
        <w:t>What I built and why</w:t>
      </w:r>
    </w:p>
    <w:p>
      <w:pPr>
        <w:spacing w:before="0" w:after="120" w:line="264" w:lineRule="auto"/>
      </w:pPr>
      <w:r>
        <w:rPr>
          <w:rFonts w:ascii="Calibri" w:hAnsi="Calibri"/>
          <w:b w:val="0"/>
          <w:i w:val="0"/>
          <w:color w:val="1D2530"/>
          <w:sz w:val="22"/>
        </w:rPr>
        <w:t>I built ChangeScope, a focused interface for turning a product request into a safe, reviewable implementation plan. It deliberately starts before code generation: a developer selects an issue, sees the likely dependency path, understands which files are relevant, reviews the plan, and approves it before execution.</w:t>
      </w:r>
    </w:p>
    <w:p>
      <w:pPr>
        <w:spacing w:before="0" w:after="120" w:line="264" w:lineRule="auto"/>
      </w:pPr>
      <w:r>
        <w:rPr>
          <w:rFonts w:ascii="Calibri" w:hAnsi="Calibri"/>
          <w:b w:val="0"/>
          <w:i w:val="0"/>
          <w:color w:val="1D2530"/>
          <w:sz w:val="22"/>
        </w:rPr>
        <w:t>I chose this because the difficult part of agentic engineering is not producing a patch. It is deciding what deserves context, showing why a recommendation is trustworthy, and making the final action controllable. The prototype makes those steps visible instead of hiding them behind a chat response.</w:t>
      </w:r>
    </w:p>
    <w:p>
      <w:pPr>
        <w:pStyle w:val="Heading1"/>
      </w:pPr>
      <w:r>
        <w:t>Demo workflow</w:t>
      </w:r>
    </w:p>
    <w:p>
      <w:pPr>
        <w:pStyle w:val="ListNumber"/>
        <w:spacing w:after="80"/>
      </w:pPr>
      <w:r>
        <w:t>Choose one of three realistic changes: add RBAC, add sensitive-action audit events, or move billing webhooks to a worker.</w:t>
      </w:r>
    </w:p>
    <w:p>
      <w:pPr>
        <w:pStyle w:val="ListNumber"/>
        <w:spacing w:after="80"/>
      </w:pPr>
      <w:r>
        <w:t>Inspect the dependency path and the selected working context. The product explains what is included and what is intentionally excluded.</w:t>
      </w:r>
    </w:p>
    <w:p>
      <w:pPr>
        <w:pStyle w:val="ListNumber"/>
        <w:spacing w:after="80"/>
      </w:pPr>
      <w:r>
        <w:t>Review a four-step implementation plan with file-level rationale and verification criteria.</w:t>
      </w:r>
    </w:p>
    <w:p>
      <w:pPr>
        <w:pStyle w:val="ListNumber"/>
        <w:spacing w:after="80"/>
      </w:pPr>
      <w:r>
        <w:t>Approve the plan explicitly. The demo confirms that the plan is ready to hand to an execution agent, while preserving human control.</w:t>
      </w:r>
    </w:p>
    <w:p>
      <w:r>
        <w:br w:type="page"/>
      </w:r>
    </w:p>
    <w:p>
      <w:pPr>
        <w:pStyle w:val="Heading1"/>
      </w:pPr>
      <w:r>
        <w:t>Architecture and design</w:t>
      </w:r>
    </w:p>
    <w:p>
      <w:pPr>
        <w:spacing w:before="0" w:after="120" w:line="264" w:lineRule="auto"/>
      </w:pPr>
      <w:r>
        <w:rPr>
          <w:rFonts w:ascii="Calibri" w:hAnsi="Calibri"/>
          <w:b w:val="0"/>
          <w:i w:val="0"/>
          <w:color w:val="1D2530"/>
          <w:sz w:val="22"/>
        </w:rPr>
        <w:t>ChangeScope is a static Vite application written in vanilla HTML, CSS, and JavaScript. It has no server, database, authentication layer, or external API requirement. This is intentional: for an assignment demo, I wanted the central product interaction to be reliable, inspectable, and deployable at zero marginal cost.</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2200"/>
            <w:tcMar>
              <w:top w:w="80" w:type="dxa"/>
              <w:start w:w="120" w:type="dxa"/>
              <w:bottom w:w="80" w:type="dxa"/>
              <w:end w:w="120" w:type="dxa"/>
            </w:tcMar>
            <w:vAlign w:val="center"/>
            <w:shd w:fill="E8EEF5"/>
          </w:tcPr>
          <w:p>
            <w:r/>
            <w:r>
              <w:rPr>
                <w:rFonts w:ascii="Calibri" w:hAnsi="Calibri"/>
                <w:b/>
                <w:color w:val="1F4D78"/>
                <w:sz w:val="20"/>
              </w:rPr>
              <w:t>Layer</w:t>
            </w:r>
          </w:p>
        </w:tc>
        <w:tc>
          <w:tcPr>
            <w:tcW w:type="dxa" w:w="3900"/>
            <w:tcMar>
              <w:top w:w="80" w:type="dxa"/>
              <w:start w:w="120" w:type="dxa"/>
              <w:bottom w:w="80" w:type="dxa"/>
              <w:end w:w="120" w:type="dxa"/>
            </w:tcMar>
            <w:vAlign w:val="center"/>
            <w:shd w:fill="E8EEF5"/>
          </w:tcPr>
          <w:p>
            <w:r/>
            <w:r>
              <w:rPr>
                <w:rFonts w:ascii="Calibri" w:hAnsi="Calibri"/>
                <w:b/>
                <w:color w:val="1F4D78"/>
                <w:sz w:val="20"/>
              </w:rPr>
              <w:t>Decision</w:t>
            </w:r>
          </w:p>
        </w:tc>
        <w:tc>
          <w:tcPr>
            <w:tcW w:type="dxa" w:w="3260"/>
            <w:tcMar>
              <w:top w:w="80" w:type="dxa"/>
              <w:start w:w="120" w:type="dxa"/>
              <w:bottom w:w="80" w:type="dxa"/>
              <w:end w:w="120" w:type="dxa"/>
            </w:tcMar>
            <w:vAlign w:val="center"/>
            <w:shd w:fill="E8EEF5"/>
          </w:tcPr>
          <w:p>
            <w:r/>
            <w:r>
              <w:rPr>
                <w:rFonts w:ascii="Calibri" w:hAnsi="Calibri"/>
                <w:b/>
                <w:color w:val="1F4D78"/>
                <w:sz w:val="20"/>
              </w:rPr>
              <w:t>Why</w:t>
            </w:r>
          </w:p>
        </w:tc>
      </w:tr>
      <w:tr>
        <w:tc>
          <w:tcPr>
            <w:tcW w:type="dxa" w:w="3120"/>
          </w:tcPr>
          <w:p>
            <w:r/>
            <w:r>
              <w:rPr>
                <w:rFonts w:ascii="Calibri" w:hAnsi="Calibri"/>
                <w:color w:val="1D2530"/>
                <w:sz w:val="19"/>
              </w:rPr>
              <w:t>Interface</w:t>
            </w:r>
          </w:p>
        </w:tc>
        <w:tc>
          <w:tcPr>
            <w:tcW w:type="dxa" w:w="3120"/>
          </w:tcPr>
          <w:p>
            <w:r/>
            <w:r>
              <w:rPr>
                <w:rFonts w:ascii="Calibri" w:hAnsi="Calibri"/>
                <w:color w:val="1D2530"/>
                <w:sz w:val="19"/>
              </w:rPr>
              <w:t>Single-screen analysis workspace</w:t>
            </w:r>
          </w:p>
        </w:tc>
        <w:tc>
          <w:tcPr>
            <w:tcW w:type="dxa" w:w="3120"/>
          </w:tcPr>
          <w:p>
            <w:r/>
            <w:r>
              <w:rPr>
                <w:rFonts w:ascii="Calibri" w:hAnsi="Calibri"/>
                <w:color w:val="1D2530"/>
                <w:sz w:val="19"/>
              </w:rPr>
              <w:t>Keeps the journey visible: issue, context, plan, proof, approval.</w:t>
            </w:r>
          </w:p>
        </w:tc>
      </w:tr>
      <w:tr>
        <w:tc>
          <w:tcPr>
            <w:tcW w:type="dxa" w:w="3120"/>
          </w:tcPr>
          <w:p>
            <w:r/>
            <w:r>
              <w:rPr>
                <w:rFonts w:ascii="Calibri" w:hAnsi="Calibri"/>
                <w:color w:val="1D2530"/>
                <w:sz w:val="19"/>
              </w:rPr>
              <w:t>Scenario engine</w:t>
            </w:r>
          </w:p>
        </w:tc>
        <w:tc>
          <w:tcPr>
            <w:tcW w:type="dxa" w:w="3120"/>
          </w:tcPr>
          <w:p>
            <w:r/>
            <w:r>
              <w:rPr>
                <w:rFonts w:ascii="Calibri" w:hAnsi="Calibri"/>
                <w:color w:val="1D2530"/>
                <w:sz w:val="19"/>
              </w:rPr>
              <w:t>Three deterministic scenarios</w:t>
            </w:r>
          </w:p>
        </w:tc>
        <w:tc>
          <w:tcPr>
            <w:tcW w:type="dxa" w:w="3120"/>
          </w:tcPr>
          <w:p>
            <w:r/>
            <w:r>
              <w:rPr>
                <w:rFonts w:ascii="Calibri" w:hAnsi="Calibri"/>
                <w:color w:val="1D2530"/>
                <w:sz w:val="19"/>
              </w:rPr>
              <w:t>Lets a reviewer test meaningful paths without API cost, keys, latency, or fabricated model behavior.</w:t>
            </w:r>
          </w:p>
        </w:tc>
      </w:tr>
      <w:tr>
        <w:tc>
          <w:tcPr>
            <w:tcW w:type="dxa" w:w="3120"/>
          </w:tcPr>
          <w:p>
            <w:r/>
            <w:r>
              <w:rPr>
                <w:rFonts w:ascii="Calibri" w:hAnsi="Calibri"/>
                <w:color w:val="1D2530"/>
                <w:sz w:val="19"/>
              </w:rPr>
              <w:t>Change map</w:t>
            </w:r>
          </w:p>
        </w:tc>
        <w:tc>
          <w:tcPr>
            <w:tcW w:type="dxa" w:w="3120"/>
          </w:tcPr>
          <w:p>
            <w:r/>
            <w:r>
              <w:rPr>
                <w:rFonts w:ascii="Calibri" w:hAnsi="Calibri"/>
                <w:color w:val="1D2530"/>
                <w:sz w:val="19"/>
              </w:rPr>
              <w:t>Rendered dependency graph</w:t>
            </w:r>
          </w:p>
        </w:tc>
        <w:tc>
          <w:tcPr>
            <w:tcW w:type="dxa" w:w="3120"/>
          </w:tcPr>
          <w:p>
            <w:r/>
            <w:r>
              <w:rPr>
                <w:rFonts w:ascii="Calibri" w:hAnsi="Calibri"/>
                <w:color w:val="1D2530"/>
                <w:sz w:val="19"/>
              </w:rPr>
              <w:t>Makes the implied blast radius concrete and allows the plan to be challenged.</w:t>
            </w:r>
          </w:p>
        </w:tc>
      </w:tr>
      <w:tr>
        <w:tc>
          <w:tcPr>
            <w:tcW w:type="dxa" w:w="3120"/>
          </w:tcPr>
          <w:p>
            <w:r/>
            <w:r>
              <w:rPr>
                <w:rFonts w:ascii="Calibri" w:hAnsi="Calibri"/>
                <w:color w:val="1D2530"/>
                <w:sz w:val="19"/>
              </w:rPr>
              <w:t>Trust model</w:t>
            </w:r>
          </w:p>
        </w:tc>
        <w:tc>
          <w:tcPr>
            <w:tcW w:type="dxa" w:w="3120"/>
          </w:tcPr>
          <w:p>
            <w:r/>
            <w:r>
              <w:rPr>
                <w:rFonts w:ascii="Calibri" w:hAnsi="Calibri"/>
                <w:color w:val="1D2530"/>
                <w:sz w:val="19"/>
              </w:rPr>
              <w:t>Evidence and approval are first-class</w:t>
            </w:r>
          </w:p>
        </w:tc>
        <w:tc>
          <w:tcPr>
            <w:tcW w:type="dxa" w:w="3120"/>
          </w:tcPr>
          <w:p>
            <w:r/>
            <w:r>
              <w:rPr>
                <w:rFonts w:ascii="Calibri" w:hAnsi="Calibri"/>
                <w:color w:val="1D2530"/>
                <w:sz w:val="19"/>
              </w:rPr>
              <w:t>Agent output should remain reviewable and controllable, particularly for authorization and billing work.</w:t>
            </w:r>
          </w:p>
        </w:tc>
      </w:tr>
      <w:tr>
        <w:tc>
          <w:tcPr>
            <w:tcW w:type="dxa" w:w="3120"/>
          </w:tcPr>
          <w:p>
            <w:r/>
            <w:r>
              <w:rPr>
                <w:rFonts w:ascii="Calibri" w:hAnsi="Calibri"/>
                <w:color w:val="1D2530"/>
                <w:sz w:val="19"/>
              </w:rPr>
              <w:t>Deployment</w:t>
            </w:r>
          </w:p>
        </w:tc>
        <w:tc>
          <w:tcPr>
            <w:tcW w:type="dxa" w:w="3120"/>
          </w:tcPr>
          <w:p>
            <w:r/>
            <w:r>
              <w:rPr>
                <w:rFonts w:ascii="Calibri" w:hAnsi="Calibri"/>
                <w:color w:val="1D2530"/>
                <w:sz w:val="19"/>
              </w:rPr>
              <w:t>Static Vercel-compatible build</w:t>
            </w:r>
          </w:p>
        </w:tc>
        <w:tc>
          <w:tcPr>
            <w:tcW w:type="dxa" w:w="3120"/>
          </w:tcPr>
          <w:p>
            <w:r/>
            <w:r>
              <w:rPr>
                <w:rFonts w:ascii="Calibri" w:hAnsi="Calibri"/>
                <w:color w:val="1D2530"/>
                <w:sz w:val="19"/>
              </w:rPr>
              <w:t>No environment variables or backend setup are needed to run the submission.</w:t>
            </w:r>
          </w:p>
        </w:tc>
      </w:tr>
    </w:tbl>
    <w:p>
      <w:pPr>
        <w:pStyle w:val="Heading1"/>
      </w:pPr>
      <w:r>
        <w:t>Key decisions and tradeoffs</w:t>
      </w:r>
    </w:p>
    <w:p>
      <w:pPr>
        <w:pStyle w:val="Heading2"/>
      </w:pPr>
      <w:r>
        <w:t>1. I optimized for one strong workflow</w:t>
      </w:r>
    </w:p>
    <w:p>
      <w:pPr>
        <w:spacing w:before="0" w:after="120" w:line="264" w:lineRule="auto"/>
      </w:pPr>
      <w:r>
        <w:rPr>
          <w:rFonts w:ascii="Calibri" w:hAnsi="Calibri"/>
          <w:b w:val="0"/>
          <w:i w:val="0"/>
          <w:color w:val="1D2530"/>
          <w:sz w:val="22"/>
        </w:rPr>
        <w:t>I did not try to recreate a coding agent. That would create a shallow product with a chat box and little evidence of judgement. Instead, I scoped the product to the decision immediately before execution: deciding the change boundary and defining what proof is needed.</w:t>
      </w:r>
    </w:p>
    <w:p>
      <w:pPr>
        <w:pStyle w:val="Heading2"/>
      </w:pPr>
      <w:r>
        <w:t>2. I did not add an LLM API</w:t>
      </w:r>
    </w:p>
    <w:p>
      <w:pPr>
        <w:spacing w:before="0" w:after="120" w:line="264" w:lineRule="auto"/>
      </w:pPr>
      <w:r>
        <w:rPr>
          <w:rFonts w:ascii="Calibri" w:hAnsi="Calibri"/>
          <w:b w:val="0"/>
          <w:i w:val="0"/>
          <w:color w:val="1D2530"/>
          <w:sz w:val="22"/>
        </w:rPr>
        <w:t>The prototype uses deliberately authored demo scenarios rather than a paid model call. This avoids passing off unpredictable output as product reliability. In production, the scenario engine would be replaced by repository indexing, dependency analysis, and an agent planner. The UI contract would stay the same: each conclusion needs a traceable reason, a bounded context, and a verification path.</w:t>
      </w:r>
    </w:p>
    <w:p>
      <w:pPr>
        <w:pStyle w:val="Heading2"/>
      </w:pPr>
      <w:r>
        <w:t>3. I made uncertainty visible</w:t>
      </w:r>
    </w:p>
    <w:p>
      <w:pPr>
        <w:spacing w:before="0" w:after="120" w:line="264" w:lineRule="auto"/>
      </w:pPr>
      <w:r>
        <w:rPr>
          <w:rFonts w:ascii="Calibri" w:hAnsi="Calibri"/>
          <w:b w:val="0"/>
          <w:i w:val="0"/>
          <w:color w:val="1D2530"/>
          <w:sz w:val="22"/>
        </w:rPr>
        <w:t>The risk callout, excluded-context explanation, and verification cards are not decoration. They are the parts of the interface that help a developer decide whether to trust a plan or investigate further. A good agent should make a developer faster without making them less informed.</w:t>
      </w:r>
    </w:p>
    <w:p>
      <w:pPr>
        <w:pStyle w:val="Heading1"/>
      </w:pPr>
      <w:r>
        <w:t>If I were building Superbrain next</w:t>
      </w:r>
    </w:p>
    <w:p>
      <w:pPr>
        <w:spacing w:before="0" w:after="120" w:line="264" w:lineRule="auto"/>
      </w:pPr>
      <w:r>
        <w:rPr>
          <w:rFonts w:ascii="Calibri" w:hAnsi="Calibri"/>
          <w:b w:val="0"/>
          <w:i w:val="0"/>
          <w:color w:val="1D2530"/>
          <w:sz w:val="22"/>
        </w:rPr>
        <w:t>I would focus next on making the context engine legible to the developer. Context efficiency is valuable, but users need to see why the system selected a set of files and what it may have missed. I would add a lightweight context inspector with: (1) selected and excluded files, (2) dependency-path evidence, (3) confidence and risk signals, and (4) the ability to pin or remove context before execution.</w:t>
      </w:r>
    </w:p>
    <w:p>
      <w:pPr>
        <w:spacing w:before="0" w:after="120" w:line="264" w:lineRule="auto"/>
      </w:pPr>
      <w:r>
        <w:rPr>
          <w:rFonts w:ascii="Calibri" w:hAnsi="Calibri"/>
          <w:b w:val="0"/>
          <w:i w:val="0"/>
          <w:color w:val="1D2530"/>
          <w:sz w:val="22"/>
        </w:rPr>
        <w:t>I would also make verification a visible phase of the product. After an agent makes a change, the interface should communicate which tests ran, what passed, what remains unproven, and why the changed files were sufficient. This would make the product feel less like an opaque assistant and more like an engineering collaborator.</w:t>
      </w:r>
    </w:p>
    <w:p>
      <w:pPr>
        <w:pStyle w:val="Heading1"/>
      </w:pPr>
      <w:r>
        <w:t>UI opportunities</w:t>
      </w:r>
    </w:p>
    <w:p>
      <w:pPr>
        <w:spacing w:before="0" w:after="120" w:line="264" w:lineRule="auto"/>
      </w:pPr>
      <w:r>
        <w:rPr>
          <w:rFonts w:ascii="Calibri" w:hAnsi="Calibri"/>
          <w:b w:val="0"/>
          <w:i w:val="0"/>
          <w:color w:val="1D2530"/>
          <w:sz w:val="22"/>
        </w:rPr>
        <w:t>My main product preference is for interfaces that make state and control obvious. For this category, users should always be able to answer: What has the agent understood? What is it about to do? What changed? How can I approve, interrupt, or revise it? A clear plan-review-execute-verify progression would reduce the cognitive load of long agent sessions.</w:t>
      </w:r>
    </w:p>
    <w:p>
      <w:pPr>
        <w:spacing w:before="0" w:after="120" w:line="264" w:lineRule="auto"/>
      </w:pPr>
      <w:r>
        <w:rPr>
          <w:rFonts w:ascii="Calibri" w:hAnsi="Calibri"/>
          <w:b w:val="0"/>
          <w:i w:val="0"/>
          <w:color w:val="1D2530"/>
          <w:sz w:val="22"/>
        </w:rPr>
        <w:t>In particular, I would avoid relying only on a linear chat history for complex work. Chat is useful for intent, but it is a poor surface for comparing files, tracking multi-step plans, and understanding system-level impact. Persistent structured panels for context, plan, diffs, and proof would make complex work easier to inspect.</w:t>
      </w:r>
    </w:p>
    <w:p>
      <w:pPr>
        <w:pStyle w:val="Heading1"/>
      </w:pPr>
      <w:r>
        <w:t>How I would extend ChangeScope</w:t>
      </w:r>
    </w:p>
    <w:p>
      <w:pPr>
        <w:pStyle w:val="ListBullet"/>
        <w:spacing w:after="80"/>
      </w:pPr>
      <w:r>
        <w:t>Replace the scenario data with a repository adapter that indexes imports, routes, tests, ownership, and recent changes.</w:t>
      </w:r>
    </w:p>
    <w:p>
      <w:pPr>
        <w:pStyle w:val="ListBullet"/>
        <w:spacing w:after="80"/>
      </w:pPr>
      <w:r>
        <w:t>Add a plan editor so a developer can change assumptions before approval.</w:t>
      </w:r>
    </w:p>
    <w:p>
      <w:pPr>
        <w:pStyle w:val="ListBullet"/>
        <w:spacing w:after="80"/>
      </w:pPr>
      <w:r>
        <w:t>Connect an execution agent after approval, with real diffs and a test-run timeline.</w:t>
      </w:r>
    </w:p>
    <w:p>
      <w:pPr>
        <w:pStyle w:val="ListBullet"/>
        <w:spacing w:after="80"/>
      </w:pPr>
      <w:r>
        <w:t>Add collaboration: reviewers can comment on a plan, pin required files, and approve high-risk changes.</w:t>
      </w:r>
    </w:p>
    <w:p>
      <w:pPr>
        <w:pStyle w:val="Heading1"/>
      </w:pPr>
      <w:r>
        <w:t>How to run</w:t>
      </w:r>
    </w:p>
    <w:p>
      <w:pPr>
        <w:spacing w:before="0" w:after="120" w:line="264" w:lineRule="auto"/>
      </w:pPr>
      <w:r>
        <w:rPr>
          <w:rFonts w:ascii="Calibri" w:hAnsi="Calibri"/>
          <w:b w:val="0"/>
          <w:i w:val="0"/>
          <w:color w:val="1D2530"/>
          <w:sz w:val="22"/>
        </w:rPr>
        <w:t>Clone the repository, run npm install, then run npm run start. For a production bundle, run npm run build. The project is ready for Vercel as a static Vite deployment and requires no environment variables.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E6875"/>
        <w:sz w:val="17"/>
      </w:rPr>
      <w:t>FOUNDING AI ENGINEER ASSIGNMENT                                      CHANGE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D25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Founding AI Engineer Assignment - ChangeScope</dc:title>
  <dc:subject/>
  <dc:creator>Madhavik Dogra</dc:creator>
  <cp:keywords/>
  <dc:description>generated by python-docx</dc:description>
  <cp:lastModifiedBy/>
  <cp:revision>1</cp:revision>
  <dcterms:created xsi:type="dcterms:W3CDTF">2013-12-23T23:15:00Z</dcterms:created>
  <dcterms:modified xsi:type="dcterms:W3CDTF">2013-12-23T23:15:00Z</dcterms:modified>
  <cp:category/>
</cp:coreProperties>
</file>