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p>
      <w:pPr>
        <w:spacing w:after="80" w:line="264" w:lineRule="auto"/>
      </w:pPr>
      <w:r>
        <w:rPr>
          <w:rFonts w:ascii="Calibri" w:hAnsi="Calibri"/>
          <w:b/>
          <w:color w:val="1F4D78"/>
          <w:sz w:val="21"/>
        </w:rPr>
        <w:t xml:space="preserve">Candidate: </w:t>
      </w:r>
      <w:r>
        <w:rPr>
          <w:rFonts w:ascii="Calibri" w:hAnsi="Calibri"/>
          <w:color w:val="1D2530"/>
          <w:sz w:val="21"/>
        </w:rPr>
        <w:t>Madhavik Dogra</w:t>
      </w:r>
    </w:p>
    <w:p>
      <w:pPr>
        <w:spacing w:after="80" w:line="264" w:lineRule="auto"/>
      </w:pPr>
      <w:r>
        <w:rPr>
          <w:rFonts w:ascii="Calibri" w:hAnsi="Calibri"/>
          <w:b/>
          <w:color w:val="1F4D78"/>
          <w:sz w:val="21"/>
        </w:rPr>
        <w:t xml:space="preserve">Repository: </w:t>
      </w:r>
      <w:r>
        <w:rPr>
          <w:rFonts w:ascii="Calibri" w:hAnsi="Calibri"/>
          <w:color w:val="1D2530"/>
          <w:sz w:val="21"/>
        </w:rPr>
        <w:t>https://github.com/madhav1k/changescope</w:t>
      </w:r>
    </w:p>
    <w:p>
      <w:pPr>
        <w:spacing w:after="80" w:line="264" w:lineRule="auto"/>
      </w:pPr>
      <w:r>
        <w:rPr>
          <w:rFonts w:ascii="Calibri" w:hAnsi="Calibri"/>
          <w:b/>
          <w:color w:val="1F4D78"/>
          <w:sz w:val="21"/>
        </w:rPr>
        <w:t xml:space="preserve">Deployment: </w:t>
      </w:r>
      <w:r>
        <w:rPr>
          <w:rFonts w:ascii="Calibri" w:hAnsi="Calibri"/>
          <w:color w:val="1D2530"/>
          <w:sz w:val="21"/>
        </w:rPr>
        <w:t>https://changescope.vercel.app</w:t>
      </w:r>
    </w:p>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2"/>
        <w:spacing w:after="80"/>
      </w:pPr>
      <w:r>
        <w:t>Choose one of three realistic changes: add RBAC, add sensitive-action audit events, or move billing webhooks to a worker.</w:t>
      </w:r>
    </w:p>
    <w:p>
      <w:pPr>
        <w:pStyle w:val="ListNumber2"/>
        <w:spacing w:after="80"/>
      </w:pPr>
      <w:r>
        <w:t>Inspect the dependency path and the selected working context. The product explains what is included and what is intentionally excluded.</w:t>
      </w:r>
    </w:p>
    <w:p>
      <w:pPr>
        <w:pStyle w:val="ListNumber2"/>
        <w:spacing w:after="80"/>
      </w:pPr>
      <w:r>
        <w:t>Review a four-step implementation plan with file-level rationale and verification criteria.</w:t>
      </w:r>
    </w:p>
    <w:p>
      <w:pPr>
        <w:pStyle w:val="ListNumber2"/>
        <w:spacing w:after="80"/>
      </w:pPr>
      <w:r>
        <w:t>Approve the plan explicitly. The demo confirms that the plan is ready to hand to an execution agent, while preserving human control.</w:t>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Number"/>
        <w:spacing w:after="80"/>
      </w:pPr>
      <w:r>
        <w:t>Replace the scenario data with a repository adapter that indexes imports, routes, tests, ownership, and recent changes.</w:t>
      </w:r>
    </w:p>
    <w:p>
      <w:pPr>
        <w:pStyle w:val="ListNumber"/>
        <w:spacing w:after="80"/>
      </w:pPr>
      <w:r>
        <w:t>Add a plan editor so a developer can change assumptions before approval.</w:t>
      </w:r>
    </w:p>
    <w:p>
      <w:pPr>
        <w:pStyle w:val="ListNumber"/>
        <w:spacing w:after="80"/>
      </w:pPr>
      <w:r>
        <w:t>Connect an execution agent after approval, with real diffs and a test-run timeline.</w:t>
      </w:r>
    </w:p>
    <w:p>
      <w:pPr>
        <w:pStyle w:val="ListNumber"/>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