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b/>
          <w:sz w:val="26"/>
        </w:rPr>
        <w:t>Madhav Singh</w:t>
        <w:br/>
        <w:t>Roll No.: CS-23411416</w:t>
        <w:br/>
        <w:t>Section: 4CSE5</w:t>
        <w:br/>
        <w:t>Session: 2023-27</w:t>
      </w:r>
    </w:p>
    <w:p>
      <w:pPr>
        <w:jc w:val="center"/>
      </w:pPr>
      <w:r>
        <w:rPr>
          <w:b/>
          <w:sz w:val="28"/>
        </w:rPr>
        <w:t>Exploratory Data Analysis, Delinquency Prediction and</w:t>
        <w:br/>
        <w:t>AI-Driven Collections Strategy</w:t>
      </w:r>
    </w:p>
    <w:p>
      <w:pPr>
        <w:jc w:val="center"/>
      </w:pPr>
      <w:r>
        <w:rPr>
          <w:b/>
          <w:sz w:val="38"/>
        </w:rPr>
        <w:t>TATA GENAI POWERED DATA ANALYTICS</w:t>
        <w:br/>
        <w:t>INDUSTRY EXPERIENCE / JOB SIMULATION REPORT</w:t>
      </w:r>
    </w:p>
    <w:p>
      <w:pPr>
        <w:jc w:val="center"/>
      </w:pPr>
      <w:r>
        <w:drawing>
          <wp:inline xmlns:a="http://schemas.openxmlformats.org/drawingml/2006/main" xmlns:pic="http://schemas.openxmlformats.org/drawingml/2006/picture">
            <wp:extent cx="2560320" cy="2233612"/>
            <wp:docPr id="1" name="Picture 1"/>
            <wp:cNvGraphicFramePr>
              <a:graphicFrameLocks noChangeAspect="1"/>
            </wp:cNvGraphicFramePr>
            <a:graphic>
              <a:graphicData uri="http://schemas.openxmlformats.org/drawingml/2006/picture">
                <pic:pic>
                  <pic:nvPicPr>
                    <pic:cNvPr id="0" name="1000117175.jpg"/>
                    <pic:cNvPicPr/>
                  </pic:nvPicPr>
                  <pic:blipFill>
                    <a:blip r:embed="rId10"/>
                    <a:stretch>
                      <a:fillRect/>
                    </a:stretch>
                  </pic:blipFill>
                  <pic:spPr>
                    <a:xfrm>
                      <a:off x="0" y="0"/>
                      <a:ext cx="2560320" cy="2233612"/>
                    </a:xfrm>
                    <a:prstGeom prst="rect"/>
                  </pic:spPr>
                </pic:pic>
              </a:graphicData>
            </a:graphic>
          </wp:inline>
        </w:drawing>
      </w:r>
    </w:p>
    <w:p>
      <w:pPr>
        <w:pStyle w:val="Heading1"/>
      </w:pPr>
      <w:r>
        <w:t>Certificate of Completion</w:t>
      </w:r>
    </w:p>
    <w:p>
      <w:r>
        <w:t>The submitted certificate identifies the experience as the “GenAI Powered Data Analytics Job Simulation” and states that practical tasks were completed during June 2026 to September 2026. The certificate lists four areas: exploratory data analysis and risk profiling; predicting delinquency with AI; business report and data storytelling for collections strategy; and implementing an AI-driven collections strategy.</w:t>
      </w:r>
    </w:p>
    <w:p>
      <w:r>
        <w:t>The certificate also contains Forage enrolment and user verification codes. The original certificate should be retained in the GitHub Certificate folder.</w:t>
      </w:r>
    </w:p>
    <w:p>
      <w:r>
        <w:br w:type="page"/>
      </w:r>
    </w:p>
    <w:p>
      <w:pPr>
        <w:pStyle w:val="Heading1"/>
      </w:pPr>
      <w:r>
        <w:t>Declaration</w:t>
      </w:r>
    </w:p>
    <w:p>
      <w:r>
        <w:t>I hereby present this report as documentation of my completed Tata GenAI Powered Data Analytics Job Simulation through Forage. The report summarizes the work and deliverables contained in my submitted task documents.</w:t>
      </w:r>
    </w:p>
    <w:p>
      <w:pPr>
        <w:pStyle w:val="Heading1"/>
      </w:pPr>
      <w:r>
        <w:t>Acknowledgement</w:t>
      </w:r>
    </w:p>
    <w:p>
      <w:r>
        <w:t>I acknowledge Tata iQ/Geldium Analytics and Forage for providing an industry-oriented simulation involving data analytics, predictive delinquency modeling, business reporting, and responsible AI-driven collections strategy.</w:t>
      </w:r>
    </w:p>
    <w:p>
      <w:pPr>
        <w:pStyle w:val="Heading1"/>
      </w:pPr>
      <w:r>
        <w:t>Table of Contents</w:t>
      </w:r>
    </w:p>
    <w:p>
      <w:r>
        <w:t>1. Introduction</w:t>
      </w:r>
    </w:p>
    <w:p>
      <w:r>
        <w:t>2. Program Objectives</w:t>
      </w:r>
    </w:p>
    <w:p>
      <w:r>
        <w:t>3. Tools and Analytical Approach</w:t>
      </w:r>
    </w:p>
    <w:p>
      <w:r>
        <w:t>4. Task 1 – Exploratory Data Analysis and Risk Profiling</w:t>
      </w:r>
    </w:p>
    <w:p>
      <w:r>
        <w:t>5. Task 2 – Predictive Delinquency Modeling</w:t>
      </w:r>
    </w:p>
    <w:p>
      <w:r>
        <w:t>6. Task 3 – AI-Driven Collections Strategy</w:t>
      </w:r>
    </w:p>
    <w:p>
      <w:r>
        <w:t>7. Task 4 – Autonomous and Responsible AI Strategy</w:t>
      </w:r>
    </w:p>
    <w:p>
      <w:r>
        <w:t>8. Responsible AI and Regulatory Considerations</w:t>
      </w:r>
    </w:p>
    <w:p>
      <w:r>
        <w:t>9. Integrated End-to-End Solution</w:t>
      </w:r>
    </w:p>
    <w:p>
      <w:r>
        <w:t>10. Skills and Learning Outcomes</w:t>
      </w:r>
    </w:p>
    <w:p>
      <w:r>
        <w:t>11. Conclusion</w:t>
      </w:r>
    </w:p>
    <w:p>
      <w:r>
        <w:t>12. References / Source Documents</w:t>
      </w:r>
    </w:p>
    <w:p>
      <w:r>
        <w:br w:type="page"/>
      </w:r>
    </w:p>
    <w:p>
      <w:pPr>
        <w:pStyle w:val="Heading1"/>
      </w:pPr>
      <w:r>
        <w:t>1. Introduction</w:t>
      </w:r>
    </w:p>
    <w:p>
      <w:r>
        <w:t>The Tata GenAI Powered Data Analytics Job Simulation focused on applying analytical and AI concepts to a financial-services collections problem. The submitted work progressed from data-quality assessment and risk profiling to predictive modeling, business recommendations, and an autonomous but responsible collections architecture.</w:t>
      </w:r>
    </w:p>
    <w:p>
      <w:r>
        <w:t>The central business objective was to identify early warning signals of delinquency and use them to support proactive customer engagement while preserving explainability, fairness, human oversight, and regulatory alignment.</w:t>
      </w:r>
    </w:p>
    <w:p>
      <w:pPr>
        <w:pStyle w:val="Heading1"/>
      </w:pPr>
      <w:r>
        <w:t>2. Program Objectives</w:t>
      </w:r>
    </w:p>
    <w:p>
      <w:pPr>
        <w:pStyle w:val="ListBullet"/>
      </w:pPr>
      <w:r>
        <w:t>Assess the quality of customer credit-risk data and identify missing values, anomalies, and outliers.</w:t>
      </w:r>
    </w:p>
    <w:p>
      <w:pPr>
        <w:pStyle w:val="ListBullet"/>
      </w:pPr>
      <w:r>
        <w:t>Identify behavioral and financial factors associated with delinquency risk.</w:t>
      </w:r>
    </w:p>
    <w:p>
      <w:pPr>
        <w:pStyle w:val="ListBullet"/>
      </w:pPr>
      <w:r>
        <w:t>Design a predictive modeling approach suitable for imbalanced tabular financial data.</w:t>
      </w:r>
    </w:p>
    <w:p>
      <w:pPr>
        <w:pStyle w:val="ListBullet"/>
      </w:pPr>
      <w:r>
        <w:t>Translate model insights into a practical collections strategy.</w:t>
      </w:r>
    </w:p>
    <w:p>
      <w:pPr>
        <w:pStyle w:val="ListBullet"/>
      </w:pPr>
      <w:r>
        <w:t>Design an AI-driven workflow that distinguishes routine automated actions from sensitive decisions requiring human review.</w:t>
      </w:r>
    </w:p>
    <w:p>
      <w:pPr>
        <w:pStyle w:val="ListBullet"/>
      </w:pPr>
      <w:r>
        <w:t>Build responsible-AI safeguards covering fairness, explainability, communication controls, and right-to-appeal.</w:t>
      </w:r>
    </w:p>
    <w:p>
      <w:pPr>
        <w:pStyle w:val="Heading1"/>
      </w:pPr>
      <w:r>
        <w:t>3. Tools and Analytical Approach</w:t>
      </w:r>
    </w:p>
    <w:p>
      <w:r>
        <w:t>The submitted documents use a combination of exploratory data analysis, feature engineering, gradient-boosted decision trees, logistic-regression benchmarking, SHAP explainability, risk bucketing, fairness metrics, and post-deployment monitoring concepts.</w:t>
      </w:r>
    </w:p>
    <w:p>
      <w:r>
        <w:t>The modeling plan recommends LightGBM/XGBoost paired with a Logistic Regression baseline for tabular financial records, with SHAP values used for feature-level transparency.</w:t>
      </w:r>
    </w:p>
    <w:p>
      <w:pPr>
        <w:pStyle w:val="Heading1"/>
      </w:pPr>
      <w:r>
        <w:t>4. Task 1 – Exploratory Data Analysis and Risk Profiling</w:t>
      </w:r>
    </w:p>
    <w:p>
      <w:pPr>
        <w:pStyle w:val="Heading2"/>
      </w:pPr>
      <w:r>
        <w:t>4.1 Data Quality Findings</w:t>
      </w:r>
    </w:p>
    <w:p>
      <w:pPr>
        <w:pStyle w:val="ListBullet"/>
      </w:pPr>
      <w:r>
        <w:t>Missing or inconsistent records were observed in important attributes including monthly income, 30/60-day delinquency counts, and revolving credit utilization.</w:t>
      </w:r>
    </w:p>
    <w:p>
      <w:pPr>
        <w:pStyle w:val="ListBullet"/>
      </w:pPr>
      <w:r>
        <w:t>Credit utilization values above 100% and severe DTI outliers were identified as important anomalies.</w:t>
      </w:r>
    </w:p>
    <w:p>
      <w:pPr>
        <w:pStyle w:val="ListBullet"/>
      </w:pPr>
      <w:r>
        <w:t>Elevated revolving utilization, recurring late payments, and recent hard-credit-inquiry spikes were identified as early delinquency indicators.</w:t>
      </w:r>
    </w:p>
    <w:p>
      <w:pPr>
        <w:pStyle w:val="Heading2"/>
      </w:pPr>
      <w:r>
        <w:t>4.2 Proposed Data Treatment</w:t>
      </w:r>
    </w:p>
    <w:p>
      <w:pPr>
        <w:pStyle w:val="ListBullet"/>
      </w:pPr>
      <w:r>
        <w:t>Annual/monthly income: median imputation within employment segments.</w:t>
      </w:r>
    </w:p>
    <w:p>
      <w:pPr>
        <w:pStyle w:val="ListBullet"/>
      </w:pPr>
      <w:r>
        <w:t>Credit-card utilization: cap at 100% and use median imputation for missing values.</w:t>
      </w:r>
    </w:p>
    <w:p>
      <w:pPr>
        <w:pStyle w:val="ListBullet"/>
      </w:pPr>
      <w:r>
        <w:t>Past payment history: zero-fill for unrecorded late-payment counters, consistent with the submitted analytical assumption.</w:t>
      </w:r>
    </w:p>
    <w:p>
      <w:pPr>
        <w:pStyle w:val="Heading2"/>
      </w:pPr>
      <w:r>
        <w:t>4.3 Risk Patterns</w:t>
      </w:r>
    </w:p>
    <w:p>
      <w:pPr>
        <w:pStyle w:val="ListBullet"/>
      </w:pPr>
      <w:r>
        <w:t>Revolving utilization above 80% was treated as a major early-warning signal.</w:t>
      </w:r>
    </w:p>
    <w:p>
      <w:pPr>
        <w:pStyle w:val="ListBullet"/>
      </w:pPr>
      <w:r>
        <w:t>Repeated 30+ day delinquencies indicate persistent repayment distress.</w:t>
      </w:r>
    </w:p>
    <w:p>
      <w:pPr>
        <w:pStyle w:val="ListBullet"/>
      </w:pPr>
      <w:r>
        <w:t>High DTI indicates limited financial cushion against shocks.</w:t>
      </w:r>
    </w:p>
    <w:p>
      <w:pPr>
        <w:pStyle w:val="ListBullet"/>
      </w:pPr>
      <w:r>
        <w:t>Recent credit-inquiry velocity may indicate emergency borrowing or credit-seeking behavior.</w:t>
      </w:r>
    </w:p>
    <w:p>
      <w:r>
        <w:t>The task recommends prioritizing nonlinear tree-based ensembles such as XGBoost or LightGBM because they can capture interactions between utilization, inquiry velocity, and leverage.</w:t>
      </w:r>
    </w:p>
    <w:p>
      <w:pPr>
        <w:pStyle w:val="Heading1"/>
      </w:pPr>
      <w:r>
        <w:t>5. Task 2 – Predictive Delinquency Modeling</w:t>
      </w:r>
    </w:p>
    <w:p>
      <w:pPr>
        <w:pStyle w:val="Heading2"/>
      </w:pPr>
      <w:r>
        <w:t>5.1 Model Architecture</w:t>
      </w:r>
    </w:p>
    <w:p>
      <w:r>
        <w:t>The submitted plan recommends a Gradient Boosted Decision Tree ensemble (LightGBM/XGBoost) together with a Logistic Regression baseline. The tree-based approach is intended to capture nonlinear interactions and threshold effects in tabular financial records, while the baseline provides a simpler benchmark.</w:t>
      </w:r>
    </w:p>
    <w:p>
      <w:pPr>
        <w:pStyle w:val="Heading2"/>
      </w:pPr>
      <w:r>
        <w:t>5.2 Key Input Features</w:t>
      </w:r>
    </w:p>
    <w:p>
      <w:pPr>
        <w:pStyle w:val="ListBullet"/>
      </w:pPr>
      <w:r>
        <w:t>Revolving credit-card utilization</w:t>
      </w:r>
    </w:p>
    <w:p>
      <w:pPr>
        <w:pStyle w:val="ListBullet"/>
      </w:pPr>
      <w:r>
        <w:t>Historical missed payments (30/60+ days past due)</w:t>
      </w:r>
    </w:p>
    <w:p>
      <w:pPr>
        <w:pStyle w:val="ListBullet"/>
      </w:pPr>
      <w:r>
        <w:t>Debt-to-income ratio</w:t>
      </w:r>
    </w:p>
    <w:p>
      <w:pPr>
        <w:pStyle w:val="ListBullet"/>
      </w:pPr>
      <w:r>
        <w:t>Recent credit-inquiry velocity</w:t>
      </w:r>
    </w:p>
    <w:p>
      <w:pPr>
        <w:pStyle w:val="ListBullet"/>
      </w:pPr>
      <w:r>
        <w:t>Employment status and income stability</w:t>
      </w:r>
    </w:p>
    <w:p>
      <w:pPr>
        <w:pStyle w:val="Heading2"/>
      </w:pPr>
      <w:r>
        <w:t>5.3 Processing Workflow</w:t>
      </w:r>
    </w:p>
    <w:p>
      <w:pPr>
        <w:pStyle w:val="ListNumber"/>
      </w:pPr>
      <w:r>
        <w:t>Data ingestion and preprocessing</w:t>
      </w:r>
    </w:p>
    <w:p>
      <w:pPr>
        <w:pStyle w:val="ListNumber"/>
      </w:pPr>
      <w:r>
        <w:t>Feature engineering and categorical encoding</w:t>
      </w:r>
    </w:p>
    <w:p>
      <w:pPr>
        <w:pStyle w:val="ListNumber"/>
      </w:pPr>
      <w:r>
        <w:t>Gradient-boosted model inference producing delinquency probabilities</w:t>
      </w:r>
    </w:p>
    <w:p>
      <w:pPr>
        <w:pStyle w:val="ListNumber"/>
      </w:pPr>
      <w:r>
        <w:t>Mapping probabilities into Low, Medium, and High Risk buckets</w:t>
      </w:r>
    </w:p>
    <w:p>
      <w:pPr>
        <w:pStyle w:val="ListNumber"/>
      </w:pPr>
      <w:r>
        <w:t>Generating local SHAP feature attributions for individual decisions</w:t>
      </w:r>
    </w:p>
    <w:p>
      <w:pPr>
        <w:pStyle w:val="Heading2"/>
      </w:pPr>
      <w:r>
        <w:t>5.4 Evaluation and Monitoring</w:t>
      </w:r>
    </w:p>
    <w:p>
      <w:r>
        <w:t>The submitted framework prioritizes PR-AUC and ROC-AUC for discriminative separation, Recall at the High Risk tier for default capture, and precision/false-positive rate for customer-experience protection. It also proposes Disparate Impact and Equalized Odds checks across customer groups.</w:t>
      </w:r>
    </w:p>
    <w:p>
      <w:r>
        <w:t>For monitoring, Population Stability Index (PSI) is proposed for detecting distribution drift. The submitted plan specifies a PSI value above 0.25 or an F1-score degradation above 5% over consecutive billing cycles as triggers for model review and retraining.</w:t>
      </w:r>
    </w:p>
    <w:p>
      <w:pPr>
        <w:pStyle w:val="Heading1"/>
      </w:pPr>
      <w:r>
        <w:t>6. Task 3 – AI-Driven Collections Strategy</w:t>
      </w:r>
    </w:p>
    <w:p>
      <w:pPr>
        <w:pStyle w:val="Heading2"/>
      </w:pPr>
      <w:r>
        <w:t>6.1 Predictive Insights</w:t>
      </w:r>
    </w:p>
    <w:p>
      <w:r>
        <w:t>The strategic report identifies three leading delinquency factors: revolving utilization above 80%, historical missed-payment velocity, and the combination of high DTI with elevated recent credit inquiries.</w:t>
      </w:r>
    </w:p>
    <w:p>
      <w:r>
        <w:t>The report states that borrowers with utilization above 80% showed a 3.4x spike in 90-day default likelihood relative to baseline users. This figure is reported from the submitted task and is not independently recalculated in this report.</w:t>
      </w:r>
    </w:p>
    <w:p>
      <w:pPr>
        <w:pStyle w:val="Heading2"/>
      </w:pPr>
      <w:r>
        <w:t>6.2 SMART Business Goal</w:t>
      </w:r>
    </w:p>
    <w:p>
      <w:r>
        <w:t>The submitted strategy sets a target of reducing roll rates from 30-day delinquency to 90-day severe default by 18% across the high-utilization customer segment over the next two fiscal quarters through preemptive digital outreach.</w:t>
      </w:r>
    </w:p>
    <w:p>
      <w:pPr>
        <w:pStyle w:val="Heading2"/>
      </w:pPr>
      <w:r>
        <w:t>6.3 Intervention Strategy</w:t>
      </w:r>
    </w:p>
    <w:p>
      <w:pPr>
        <w:pStyle w:val="ListBullet"/>
      </w:pPr>
      <w:r>
        <w:t>Use early-warning signals before formal past-due status.</w:t>
      </w:r>
    </w:p>
    <w:p>
      <w:pPr>
        <w:pStyle w:val="ListBullet"/>
      </w:pPr>
      <w:r>
        <w:t>Trigger automated payment reminders and rescheduling options.</w:t>
      </w:r>
    </w:p>
    <w:p>
      <w:pPr>
        <w:pStyle w:val="ListBullet"/>
      </w:pPr>
      <w:r>
        <w:t>Offer flexible repayment structures and, where applicable in the submitted strategy, temporary interest-rate smoothing.</w:t>
      </w:r>
    </w:p>
    <w:p>
      <w:pPr>
        <w:pStyle w:val="ListBullet"/>
      </w:pPr>
      <w:r>
        <w:t>Track outcomes against a holdout control group and monitor cohort roll rates.</w:t>
      </w:r>
    </w:p>
    <w:p>
      <w:pPr>
        <w:pStyle w:val="Heading1"/>
      </w:pPr>
      <w:r>
        <w:t>7. Task 4 – Autonomous and Responsible AI Strategy</w:t>
      </w:r>
    </w:p>
    <w:p>
      <w:pPr>
        <w:pStyle w:val="Heading2"/>
      </w:pPr>
      <w:r>
        <w:t>7.1 End-to-End Architecture</w:t>
      </w:r>
    </w:p>
    <w:p>
      <w:pPr>
        <w:pStyle w:val="ListBullet"/>
      </w:pPr>
      <w:r>
        <w:t>Data ingestion: transaction feeds, balances, utilization, delinquency history, and inquiry velocity.</w:t>
      </w:r>
    </w:p>
    <w:p>
      <w:pPr>
        <w:pStyle w:val="ListBullet"/>
      </w:pPr>
      <w:r>
        <w:t>Decision logic: calibrated XGBoost scoring, dynamic roll-rate probability, SHAP reason codes, and policy thresholds.</w:t>
      </w:r>
    </w:p>
    <w:p>
      <w:pPr>
        <w:pStyle w:val="ListBullet"/>
      </w:pPr>
      <w:r>
        <w:t>Intelligent action: low-friction digital outreach, flexible payment rescheduling, interest-rate smoothing offers, and escalation for complex disputes.</w:t>
      </w:r>
    </w:p>
    <w:p>
      <w:pPr>
        <w:pStyle w:val="ListBullet"/>
      </w:pPr>
      <w:r>
        <w:t>Learning loop: repayment-response tracking, PSI audits, roll-rate comparison against control, and model recalibration.</w:t>
      </w:r>
    </w:p>
    <w:p>
      <w:pPr>
        <w:pStyle w:val="Heading2"/>
      </w:pPr>
      <w:r>
        <w:t>7.2 Agentic AI and Human Oversight</w:t>
      </w:r>
    </w:p>
    <w:p>
      <w:r>
        <w:t>The submitted deck separates routine, low-friction activities from high-sensitivity decisions. Automated activities include digital notifications, AI-guided micro-payment proposals, standard conversational payment execution, and continuous credit-health monitoring. Human oversight is reserved for hardship cases, complex restructuring, disputes, fraud allegations, negotiated settlements, agency referrals, legal proceedings, and credit-line freezing/cancellation.</w:t>
      </w:r>
    </w:p>
    <w:p>
      <w:pPr>
        <w:pStyle w:val="Heading2"/>
      </w:pPr>
      <w:r>
        <w:t>7.3 Expected Business Impact</w:t>
      </w:r>
    </w:p>
    <w:p>
      <w:pPr>
        <w:pStyle w:val="ListBullet"/>
      </w:pPr>
      <w:r>
        <w:t>18% reduction in 30-to-90-day roll rates</w:t>
      </w:r>
    </w:p>
    <w:p>
      <w:pPr>
        <w:pStyle w:val="ListBullet"/>
      </w:pPr>
      <w:r>
        <w:t>35% decrease in agency recovery costs</w:t>
      </w:r>
    </w:p>
    <w:p>
      <w:pPr>
        <w:pStyle w:val="ListBullet"/>
      </w:pPr>
      <w:r>
        <w:t>40% operational efficiency uplift</w:t>
      </w:r>
    </w:p>
    <w:p>
      <w:pPr>
        <w:pStyle w:val="ListBullet"/>
      </w:pPr>
      <w:r>
        <w:t>12% improvement in net cured accounts</w:t>
      </w:r>
    </w:p>
    <w:p>
      <w:r>
        <w:t>These figures are presented as expected outcomes in the submitted executive deck, rather than independently validated results.</w:t>
      </w:r>
    </w:p>
    <w:p>
      <w:pPr>
        <w:pStyle w:val="Heading1"/>
      </w:pPr>
      <w:r>
        <w:t>8. Responsible AI and Regulatory Considerations</w:t>
      </w:r>
    </w:p>
    <w:p>
      <w:pPr>
        <w:pStyle w:val="ListBullet"/>
      </w:pPr>
      <w:r>
        <w:t>Remove protected attributes and indirect geographical proxies from model training.</w:t>
      </w:r>
    </w:p>
    <w:p>
      <w:pPr>
        <w:pStyle w:val="ListBullet"/>
      </w:pPr>
      <w:r>
        <w:t>Use Disparate Impact Ratio audits and the 4/5ths (80%) rule as stated in the submitted work.</w:t>
      </w:r>
    </w:p>
    <w:p>
      <w:pPr>
        <w:pStyle w:val="ListBullet"/>
      </w:pPr>
      <w:r>
        <w:t>Use SHAP-based reason codes to make individual risk decisions more understandable.</w:t>
      </w:r>
    </w:p>
    <w:p>
      <w:pPr>
        <w:pStyle w:val="ListBullet"/>
      </w:pPr>
      <w:r>
        <w:t>Limit automated actions to supportive interventions where possible.</w:t>
      </w:r>
    </w:p>
    <w:p>
      <w:pPr>
        <w:pStyle w:val="ListBullet"/>
      </w:pPr>
      <w:r>
        <w:t>Require human validation before punitive actions such as credit freezing or cancellation.</w:t>
      </w:r>
    </w:p>
    <w:p>
      <w:pPr>
        <w:pStyle w:val="ListBullet"/>
      </w:pPr>
      <w:r>
        <w:t>Provide a clear escalation and appeal mechanism.</w:t>
      </w:r>
    </w:p>
    <w:p>
      <w:pPr>
        <w:pStyle w:val="ListBullet"/>
      </w:pPr>
      <w:r>
        <w:t>Apply communication controls including contact-frequency limits, time-window restrictions, opt-out handling, and consent management as specified in the submitted strategy.</w:t>
      </w:r>
    </w:p>
    <w:p>
      <w:pPr>
        <w:pStyle w:val="Heading1"/>
      </w:pPr>
      <w:r>
        <w:t>9. Integrated End-to-End Solution</w:t>
      </w:r>
    </w:p>
    <w:p>
      <w:r>
        <w:t>Taken together, the four tasks form a coherent pipeline: clean and profile the data → engineer predictive features → estimate delinquency risk → explain individual risk drivers → assign risk tiers → trigger proportionate proactive support → escalate sensitive cases to humans → monitor outcomes, fairness, and drift.</w:t>
      </w:r>
    </w:p>
    <w:p>
      <w:r>
        <w:t>This integrated approach connects technical modeling with a practical collections operating model. The emphasis is not only on predictive performance but also on customer experience, explainability, fairness, and operational controls.</w:t>
      </w:r>
    </w:p>
    <w:p>
      <w:pPr>
        <w:pStyle w:val="Heading1"/>
      </w:pPr>
      <w:r>
        <w:t>10. Skills and Learning Outcomes</w:t>
      </w:r>
    </w:p>
    <w:p>
      <w:pPr>
        <w:pStyle w:val="ListBullet"/>
      </w:pPr>
      <w:r>
        <w:t>Exploratory data analysis and data-quality assessment</w:t>
      </w:r>
    </w:p>
    <w:p>
      <w:pPr>
        <w:pStyle w:val="ListBullet"/>
      </w:pPr>
      <w:r>
        <w:t>Credit-risk and delinquency profiling</w:t>
      </w:r>
    </w:p>
    <w:p>
      <w:pPr>
        <w:pStyle w:val="ListBullet"/>
      </w:pPr>
      <w:r>
        <w:t>Predictive modeling concepts for imbalanced tabular data</w:t>
      </w:r>
    </w:p>
    <w:p>
      <w:pPr>
        <w:pStyle w:val="ListBullet"/>
      </w:pPr>
      <w:r>
        <w:t>Feature engineering and model evaluation</w:t>
      </w:r>
    </w:p>
    <w:p>
      <w:pPr>
        <w:pStyle w:val="ListBullet"/>
      </w:pPr>
      <w:r>
        <w:t>SHAP-based model explainability</w:t>
      </w:r>
    </w:p>
    <w:p>
      <w:pPr>
        <w:pStyle w:val="ListBullet"/>
      </w:pPr>
      <w:r>
        <w:t>Business report writing and data storytelling</w:t>
      </w:r>
    </w:p>
    <w:p>
      <w:pPr>
        <w:pStyle w:val="ListBullet"/>
      </w:pPr>
      <w:r>
        <w:t>AI-driven collections strategy design</w:t>
      </w:r>
    </w:p>
    <w:p>
      <w:pPr>
        <w:pStyle w:val="ListBullet"/>
      </w:pPr>
      <w:r>
        <w:t>Responsible AI, fairness, human oversight, and model monitoring</w:t>
      </w:r>
    </w:p>
    <w:p>
      <w:pPr>
        <w:pStyle w:val="Heading1"/>
      </w:pPr>
      <w:r>
        <w:t>11. Conclusion</w:t>
      </w:r>
    </w:p>
    <w:p>
      <w:r>
        <w:t>The Tata GenAI Powered Data Analytics Job Simulation provided an end-to-end industry-oriented exercise in applying analytics and AI to a financial collections problem. The work moved from identifying data-quality issues and delinquency signals to designing a predictive model, translating predictions into proactive interventions, and defining an autonomous architecture with responsible-AI guardrails.</w:t>
      </w:r>
    </w:p>
    <w:p>
      <w:r>
        <w:t>The resulting solution emphasizes measurable business outcomes while retaining human oversight for sensitive decisions and transparency for affected customers.</w:t>
      </w:r>
    </w:p>
    <w:p>
      <w:pPr>
        <w:pStyle w:val="Heading1"/>
      </w:pPr>
      <w:r>
        <w:t>12. References / Source Documents</w:t>
      </w:r>
    </w:p>
    <w:p>
      <w:pPr>
        <w:pStyle w:val="ListBullet"/>
      </w:pPr>
      <w:r>
        <w:t>Tata GenAI Powered Data Analytics Job Simulation – Certificate of Completion, Forage.</w:t>
      </w:r>
    </w:p>
    <w:p>
      <w:pPr>
        <w:pStyle w:val="ListBullet"/>
      </w:pPr>
      <w:r>
        <w:t>Task 1: Geldium EDA and Risk Profiling Report.</w:t>
      </w:r>
    </w:p>
    <w:p>
      <w:pPr>
        <w:pStyle w:val="ListBullet"/>
      </w:pPr>
      <w:r>
        <w:t>Task 2: Geldium Predictive Model Plan.</w:t>
      </w:r>
    </w:p>
    <w:p>
      <w:pPr>
        <w:pStyle w:val="ListBullet"/>
      </w:pPr>
      <w:r>
        <w:t>Task 3: Geldium Collections Strategy Report.</w:t>
      </w:r>
    </w:p>
    <w:p>
      <w:pPr>
        <w:pStyle w:val="ListBullet"/>
      </w:pPr>
      <w:r>
        <w:t>Task 4: Geldium AI Collections Strategy Deck.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