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PeerScope: Paper Evaluation and Auditable Reviewer Recommendation with Local AI</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Mula Sreebindu</w:t>
            </w:r>
          </w:p>
          <w:p>
            <w:pPr>
              <w:spacing w:after="0"/>
              <w:jc w:val="center"/>
            </w:pPr>
            <w:r>
              <w:rPr>
                <w:rFonts w:ascii="Times New Roman" w:hAnsi="Times New Roman" w:cs="Times New Roman" w:eastAsia="Times New Roman"/>
                <w:b w:val="0"/>
                <w:sz w:val="18"/>
              </w:rPr>
              <w:t>Roll No. 23K91A05G3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Puramshetty Vishnu Vardhan</w:t>
            </w:r>
          </w:p>
          <w:p>
            <w:pPr>
              <w:spacing w:after="0"/>
              <w:jc w:val="center"/>
            </w:pPr>
            <w:r>
              <w:rPr>
                <w:rFonts w:ascii="Times New Roman" w:hAnsi="Times New Roman" w:cs="Times New Roman" w:eastAsia="Times New Roman"/>
                <w:b w:val="0"/>
                <w:sz w:val="18"/>
              </w:rPr>
              <w:t>Roll No. 23K91A05K2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 Sampoorna</w:t>
            </w:r>
          </w:p>
          <w:p>
            <w:pPr>
              <w:spacing w:after="0"/>
              <w:jc w:val="center"/>
            </w:pPr>
            <w:r>
              <w:rPr>
                <w:rFonts w:ascii="Times New Roman" w:hAnsi="Times New Roman" w:cs="Times New Roman" w:eastAsia="Times New Roman"/>
                <w:b w:val="0"/>
                <w:sz w:val="18"/>
              </w:rPr>
              <w:t>Roll No. 24K95A0512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Korsa Shivashankar</w:t>
            </w:r>
          </w:p>
          <w:p>
            <w:pPr>
              <w:spacing w:after="0"/>
              <w:jc w:val="center"/>
            </w:pPr>
            <w:r>
              <w:rPr>
                <w:rFonts w:ascii="Times New Roman" w:hAnsi="Times New Roman" w:cs="Times New Roman" w:eastAsia="Times New Roman"/>
                <w:b w:val="0"/>
                <w:sz w:val="18"/>
              </w:rPr>
              <w:t>Roll No. 24K95A0515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 Anupama</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Journals and conferences receive more submissions than their reviewers can absorb, and both first-pass screening and the choice of reviewer remain largely manual. This paper presents PeerScope, a local web application that turns a research-paper PDF into a preliminary, clearly caveated assessment and an auditable ranking of candidate reviewers. The paper is parsed into sections and structural signals, a TF-IDF logistic-regression model supplies a historical decision signal, a locally run Qwen2.5-1.5B model drafts a critique, and related work is retrieved from OpenAlex. Reviewers are ranked by a transparent score that combines sentence-embedding similarity, keyword and method overlap, availability and a conflict penalty. On 40 probe abstracts written by the team and six demo reviewers, the hybrid score ranks an acceptable reviewer first in 95% of cases (75% with an offline TF-IDF fallback). The decision model, trained on synthetic labels, reaches 0.55 accuracy, close to the 0.56 ceiling of those labels, so it demonstrates the pipeline and does not predict real decisions. The results are not comparable with earlier work on real conference data.</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artificial intelligence, conflict of interest, natural language processing, peer review, reviewer recommendation, semantic similarity, sentence embeddings.</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Scholarly publishing is limited by reviewer capacity. When two independent NeurIPS 2021 committees reviewed the same papers they disagreed on about 23 % of accept-or-reject outcomes [2], and each submission still has to be matched to qualified reviewers, a task studied for about thirty years as the reviewer assignment problem [3]. In most venues an editor shortlists reviewers from personal knowledge or keyword search, which favours people who share vocabulary rather than expertise, and screens each submission by hand before any reviewer sees it.</w:t>
      </w:r>
    </w:p>
    <w:p>
      <w:pPr>
        <w:keepNext w:val="0"/>
        <w:spacing w:after="0" w:before="0" w:line="240" w:lineRule="auto"/>
        <w:ind w:firstLine="288"/>
        <w:jc w:val="both"/>
      </w:pPr>
      <w:r>
        <w:rPr>
          <w:rFonts w:ascii="Times New Roman" w:hAnsi="Times New Roman" w:cs="Times New Roman" w:eastAsia="Times New Roman"/>
          <w:sz w:val="20"/>
        </w:rPr>
        <w:t>Research has served the two halves of this workload separately. Assignment methods compute paper-reviewer affinity from text, from topic models or from learned suitability scores [4], [5], [6]; automated-review work, surveyed in [7], predicts decisions or writes review text [8], [9], [10], [11]. The base paper [1] argues that the affinity score is the hard part and that dense embeddings are hard to audit, so it restricts language models to extracting keywords and keeps a full audit trail. It does not assess the submission itself, and it left conflict of interest and reviewer capacity out of its experiments. Language-model reviewers also carry risks: hidden instructions in a manuscript steer them [12], [13].</w:t>
      </w:r>
    </w:p>
    <w:p>
      <w:pPr>
        <w:keepNext w:val="0"/>
        <w:spacing w:after="0" w:before="0" w:line="240" w:lineRule="auto"/>
        <w:ind w:firstLine="288"/>
        <w:jc w:val="both"/>
      </w:pPr>
      <w:r>
        <w:rPr>
          <w:rFonts w:ascii="Times New Roman" w:hAnsi="Times New Roman" w:cs="Times New Roman" w:eastAsia="Times New Roman"/>
          <w:sz w:val="20"/>
        </w:rPr>
        <w:t>PeerScope closes the first gap on a small scale. It is a local application, with no cloud service for the paper text, that gives an editor both a preliminary assessment of an uploaded PDF and a reviewer ranking whose every term is visible. The contributions are: (1) an end-to-end pipeline from PDF to assessment to ranked reviewers, with a stored history and JSON and PDF export; (2) an auditable score that puts embedding similarity, keyword and method overlap, availability and a conflict penalty in one explicit formula; (3) a measured evaluation, including a baseline study, a probe-set test of ranking quality, a conflict-injection test and latency, reported together with what it cannot show; and (4) a record of the defects found in testing.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 measurement used one desktop PC: Intel Core i5-12500 with 15.7 GB of RAM, no graphics processor and Windows 11. Language-model generation therefore ran on the CPU in 32-bit floating point.</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FastAPI 0.120.4 with SQLite through SQLAlchemy 2.1.6; PyMuPDF 2.0 for text extraction; scikit-learn 1.9.1 [14]; sentence-transformers 6.2.0 with all-MiniLM-L6-v2 [15]; PyTorch 2.14.1 and Transformers 5.20.2 running Qwen2.5-1.5B-Instruct [16]; the OpenAlex API [17] for literature; and a React and Vite interface for the browser.</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Bagheri et al. [1] treat reviewer assignment as an affinity-construction problem. Producer language models each return six to twelve keyphrases for a paper view (title, abstract summary or abstract) or for each prior publication of a reviewer; a stronger judge model picks the best list without rewriting it; deterministic normalisation follows; and every stage stores prompts, model identifiers and score matrices as an audit trail. Matchers include TF-IDF cosine, keyword Jaccard, an SBERT bi-encoder (all-MiniLM-L6-v2) with a cross-encoder re-ranker, and keyword knowledge graphs. The data are 663 papers from 85 computer-science conferences with 1,989 historical assignments and 524 reviewer profiles built from Semantic Scholar. The best mean reciprocal rank at three (MRR@3) is 0.7778 on titles (two-stage re-ranking) and 0.7843 on abstracts (graph edge Jaccard); the best precision at three is 0.4545. Most differences between text encoders were not statistically significant. The authors state that historical assignments are an imperfect label, that no human expert judgements were used, and that conflict of interest and capacity could not be benchmarked.</w:t>
      </w:r>
    </w:p>
    <w:p>
      <w:pPr>
        <w:keepNext w:val="0"/>
        <w:spacing w:after="0" w:before="0" w:line="240" w:lineRule="auto"/>
        <w:ind w:firstLine="288"/>
        <w:jc w:val="both"/>
      </w:pPr>
      <w:r>
        <w:rPr>
          <w:rFonts w:ascii="Times New Roman" w:hAnsi="Times New Roman" w:cs="Times New Roman" w:eastAsia="Times New Roman"/>
          <w:b/>
          <w:sz w:val="20"/>
        </w:rPr>
        <w:t>Reviewer assignment.</w:t>
      </w:r>
      <w:r>
        <w:rPr>
          <w:rFonts w:ascii="Times New Roman" w:hAnsi="Times New Roman" w:cs="Times New Roman" w:eastAsia="Times New Roman"/>
          <w:sz w:val="20"/>
        </w:rPr>
        <w:t xml:space="preserve"> Charlin et al. [4] learn suitability scores from a few provided scores and then solve an integer program; Mimno and McCallum [5] compare language-model and author-persona-topic models against human relevance judgements; Chain-of-Factors [6] chains semantic, topic and citation factors in one instruction-tuned model; and Jecmen et al. [18] randomise assignments to limit manipulation. A survey [3] organises the field into candidate database, matching degree and assignment optimisation.</w:t>
      </w:r>
    </w:p>
    <w:p>
      <w:pPr>
        <w:keepNext w:val="0"/>
        <w:spacing w:after="0" w:before="0" w:line="240" w:lineRule="auto"/>
        <w:ind w:firstLine="288"/>
        <w:jc w:val="both"/>
      </w:pPr>
      <w:r>
        <w:rPr>
          <w:rFonts w:ascii="Times New Roman" w:hAnsi="Times New Roman" w:cs="Times New Roman" w:eastAsia="Times New Roman"/>
          <w:b/>
          <w:sz w:val="20"/>
        </w:rPr>
        <w:t>Representations.</w:t>
      </w:r>
      <w:r>
        <w:rPr>
          <w:rFonts w:ascii="Times New Roman" w:hAnsi="Times New Roman" w:cs="Times New Roman" w:eastAsia="Times New Roman"/>
          <w:sz w:val="20"/>
        </w:rPr>
        <w:t xml:space="preserve"> Sentence-BERT [19] makes sentence embeddings comparable by cosine similarity (finding the closest pair among 10,000 sentences falls from about 65 hours to about 5 seconds), and MiniLM [15] is the compact model family used here and in the base paper.</w:t>
      </w:r>
    </w:p>
    <w:p>
      <w:pPr>
        <w:keepNext w:val="0"/>
        <w:spacing w:after="0" w:before="0" w:line="240" w:lineRule="auto"/>
        <w:ind w:firstLine="288"/>
        <w:jc w:val="both"/>
      </w:pPr>
      <w:r>
        <w:rPr>
          <w:rFonts w:ascii="Times New Roman" w:hAnsi="Times New Roman" w:cs="Times New Roman" w:eastAsia="Times New Roman"/>
          <w:b/>
          <w:sz w:val="20"/>
        </w:rPr>
        <w:t>Automated review.</w:t>
      </w:r>
      <w:r>
        <w:rPr>
          <w:rFonts w:ascii="Times New Roman" w:hAnsi="Times New Roman" w:cs="Times New Roman" w:eastAsia="Times New Roman"/>
          <w:sz w:val="20"/>
        </w:rPr>
        <w:t xml:space="preserve"> PeerRead [9] offers 14.7 thousand drafts with decisions and 10.7 thousand reviews, where simple models cut error by up to 21 % against the majority baseline. Debate graphs over simulated reviewer-author exchanges (ReViewGraph) [8] reach 66-72 % accuracy on ICLR 2023-2025 decisions. Generated reviews cover more aspects than human ones but are less constructive [10]; GPT-4 feedback overlaps with human reviewers about as much as two humans overlap with each other [11]. Hidden instructions were followed in 78 % to 86 % of trials with two chatbots [12], and simple prompt injection raised acceptance scores up to 100 % [13].</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4"/>
              </w:rPr>
              <w:t>Work</w:t>
            </w:r>
          </w:p>
        </w:tc>
        <w:tc>
          <w:tcPr>
            <w:tcW w:type="dxa" w:w="1368"/>
          </w:tcPr>
          <w:p>
            <w:pPr>
              <w:jc w:val="center"/>
            </w:pPr>
            <w:r/>
            <w:r>
              <w:rPr>
                <w:rFonts w:ascii="Times New Roman" w:hAnsi="Times New Roman" w:cs="Times New Roman" w:eastAsia="Times New Roman"/>
                <w:b/>
                <w:sz w:val="14"/>
              </w:rPr>
              <w:t>Approach</w:t>
            </w:r>
          </w:p>
        </w:tc>
        <w:tc>
          <w:tcPr>
            <w:tcW w:type="dxa" w:w="1037"/>
          </w:tcPr>
          <w:p>
            <w:pPr>
              <w:jc w:val="center"/>
            </w:pPr>
            <w:r/>
            <w:r>
              <w:rPr>
                <w:rFonts w:ascii="Times New Roman" w:hAnsi="Times New Roman" w:cs="Times New Roman" w:eastAsia="Times New Roman"/>
                <w:b/>
                <w:sz w:val="14"/>
              </w:rPr>
              <w:t>Data</w:t>
            </w:r>
          </w:p>
        </w:tc>
        <w:tc>
          <w:tcPr>
            <w:tcW w:type="dxa" w:w="1037"/>
          </w:tcPr>
          <w:p>
            <w:pPr>
              <w:jc w:val="center"/>
            </w:pPr>
            <w:r/>
            <w:r>
              <w:rPr>
                <w:rFonts w:ascii="Times New Roman" w:hAnsi="Times New Roman" w:cs="Times New Roman" w:eastAsia="Times New Roman"/>
                <w:b/>
                <w:sz w:val="14"/>
              </w:rPr>
              <w:t>Reported result</w:t>
            </w:r>
          </w:p>
        </w:tc>
        <w:tc>
          <w:tcPr>
            <w:tcW w:type="dxa" w:w="1022"/>
          </w:tcPr>
          <w:p>
            <w:pPr>
              <w:jc w:val="center"/>
            </w:pPr>
            <w:r/>
            <w:r>
              <w:rPr>
                <w:rFonts w:ascii="Times New Roman" w:hAnsi="Times New Roman" w:cs="Times New Roman" w:eastAsia="Times New Roman"/>
                <w:b/>
                <w:sz w:val="14"/>
              </w:rPr>
              <w:t>Limitation</w:t>
            </w:r>
          </w:p>
        </w:tc>
      </w:tr>
      <w:tr>
        <w:trPr>
          <w:cantSplit w:val="true"/>
        </w:trPr>
        <w:tc>
          <w:tcPr>
            <w:tcW w:type="dxa" w:w="432"/>
          </w:tcPr>
          <w:p>
            <w:pPr>
              <w:jc w:val="center"/>
            </w:pPr>
            <w:r/>
            <w:r>
              <w:rPr>
                <w:rFonts w:ascii="Times New Roman" w:hAnsi="Times New Roman" w:cs="Times New Roman" w:eastAsia="Times New Roman"/>
                <w:sz w:val="14"/>
              </w:rPr>
              <w:t>[1]</w:t>
            </w:r>
          </w:p>
        </w:tc>
        <w:tc>
          <w:tcPr>
            <w:tcW w:type="dxa" w:w="1368"/>
          </w:tcPr>
          <w:p>
            <w:pPr>
              <w:jc w:val="left"/>
            </w:pPr>
            <w:r/>
            <w:r>
              <w:rPr>
                <w:rFonts w:ascii="Times New Roman" w:hAnsi="Times New Roman" w:cs="Times New Roman" w:eastAsia="Times New Roman"/>
                <w:sz w:val="14"/>
              </w:rPr>
              <w:t>LLM keywords, audit trail, SBERT and graph matchers</w:t>
            </w:r>
          </w:p>
        </w:tc>
        <w:tc>
          <w:tcPr>
            <w:tcW w:type="dxa" w:w="1037"/>
          </w:tcPr>
          <w:p>
            <w:pPr>
              <w:jc w:val="left"/>
            </w:pPr>
            <w:r/>
            <w:r>
              <w:rPr>
                <w:rFonts w:ascii="Times New Roman" w:hAnsi="Times New Roman" w:cs="Times New Roman" w:eastAsia="Times New Roman"/>
                <w:sz w:val="14"/>
              </w:rPr>
              <w:t>663 papers, 524 reviewers</w:t>
            </w:r>
          </w:p>
        </w:tc>
        <w:tc>
          <w:tcPr>
            <w:tcW w:type="dxa" w:w="1037"/>
          </w:tcPr>
          <w:p>
            <w:pPr>
              <w:jc w:val="left"/>
            </w:pPr>
            <w:r/>
            <w:r>
              <w:rPr>
                <w:rFonts w:ascii="Times New Roman" w:hAnsi="Times New Roman" w:cs="Times New Roman" w:eastAsia="Times New Roman"/>
                <w:sz w:val="14"/>
              </w:rPr>
              <w:t>MRR@3 up to 0.78</w:t>
            </w:r>
          </w:p>
        </w:tc>
        <w:tc>
          <w:tcPr>
            <w:tcW w:type="dxa" w:w="1022"/>
          </w:tcPr>
          <w:p>
            <w:pPr>
              <w:jc w:val="left"/>
            </w:pPr>
            <w:r/>
            <w:r>
              <w:rPr>
                <w:rFonts w:ascii="Times New Roman" w:hAnsi="Times New Roman" w:cs="Times New Roman" w:eastAsia="Times New Roman"/>
                <w:sz w:val="14"/>
              </w:rPr>
              <w:t>No paper assessment; no COI test</w:t>
            </w:r>
          </w:p>
        </w:tc>
      </w:tr>
      <w:tr>
        <w:trPr>
          <w:cantSplit w:val="true"/>
        </w:trPr>
        <w:tc>
          <w:tcPr>
            <w:tcW w:type="dxa" w:w="432"/>
          </w:tcPr>
          <w:p>
            <w:pPr>
              <w:jc w:val="center"/>
            </w:pPr>
            <w:r/>
            <w:r>
              <w:rPr>
                <w:rFonts w:ascii="Times New Roman" w:hAnsi="Times New Roman" w:cs="Times New Roman" w:eastAsia="Times New Roman"/>
                <w:sz w:val="14"/>
              </w:rPr>
              <w:t>[4]</w:t>
            </w:r>
          </w:p>
        </w:tc>
        <w:tc>
          <w:tcPr>
            <w:tcW w:type="dxa" w:w="1368"/>
          </w:tcPr>
          <w:p>
            <w:pPr>
              <w:jc w:val="left"/>
            </w:pPr>
            <w:r/>
            <w:r>
              <w:rPr>
                <w:rFonts w:ascii="Times New Roman" w:hAnsi="Times New Roman" w:cs="Times New Roman" w:eastAsia="Times New Roman"/>
                <w:sz w:val="14"/>
              </w:rPr>
              <w:t>Learned suitability + integer program</w:t>
            </w:r>
          </w:p>
        </w:tc>
        <w:tc>
          <w:tcPr>
            <w:tcW w:type="dxa" w:w="1037"/>
          </w:tcPr>
          <w:p>
            <w:pPr>
              <w:jc w:val="left"/>
            </w:pPr>
            <w:r/>
            <w:r>
              <w:rPr>
                <w:rFonts w:ascii="Times New Roman" w:hAnsi="Times New Roman" w:cs="Times New Roman" w:eastAsia="Times New Roman"/>
                <w:sz w:val="14"/>
              </w:rPr>
              <w:t>Two conferences</w:t>
            </w:r>
          </w:p>
        </w:tc>
        <w:tc>
          <w:tcPr>
            <w:tcW w:type="dxa" w:w="1037"/>
          </w:tcPr>
          <w:p>
            <w:pPr>
              <w:jc w:val="left"/>
            </w:pPr>
            <w:r/>
            <w:r>
              <w:rPr>
                <w:rFonts w:ascii="Times New Roman" w:hAnsi="Times New Roman" w:cs="Times New Roman" w:eastAsia="Times New Roman"/>
                <w:sz w:val="14"/>
              </w:rPr>
              <w:t>Better than baselines</w:t>
            </w:r>
          </w:p>
        </w:tc>
        <w:tc>
          <w:tcPr>
            <w:tcW w:type="dxa" w:w="1022"/>
          </w:tcPr>
          <w:p>
            <w:pPr>
              <w:jc w:val="left"/>
            </w:pPr>
            <w:r/>
            <w:r>
              <w:rPr>
                <w:rFonts w:ascii="Times New Roman" w:hAnsi="Times New Roman" w:cs="Times New Roman" w:eastAsia="Times New Roman"/>
                <w:sz w:val="14"/>
              </w:rPr>
              <w:t>Needs provided scores</w:t>
            </w:r>
          </w:p>
        </w:tc>
      </w:tr>
      <w:tr>
        <w:trPr>
          <w:cantSplit w:val="true"/>
        </w:trPr>
        <w:tc>
          <w:tcPr>
            <w:tcW w:type="dxa" w:w="432"/>
          </w:tcPr>
          <w:p>
            <w:pPr>
              <w:jc w:val="center"/>
            </w:pPr>
            <w:r/>
            <w:r>
              <w:rPr>
                <w:rFonts w:ascii="Times New Roman" w:hAnsi="Times New Roman" w:cs="Times New Roman" w:eastAsia="Times New Roman"/>
                <w:sz w:val="14"/>
              </w:rPr>
              <w:t>[5]</w:t>
            </w:r>
          </w:p>
        </w:tc>
        <w:tc>
          <w:tcPr>
            <w:tcW w:type="dxa" w:w="1368"/>
          </w:tcPr>
          <w:p>
            <w:pPr>
              <w:jc w:val="left"/>
            </w:pPr>
            <w:r/>
            <w:r>
              <w:rPr>
                <w:rFonts w:ascii="Times New Roman" w:hAnsi="Times New Roman" w:cs="Times New Roman" w:eastAsia="Times New Roman"/>
                <w:sz w:val="14"/>
              </w:rPr>
              <w:t>Author-persona-topic model</w:t>
            </w:r>
          </w:p>
        </w:tc>
        <w:tc>
          <w:tcPr>
            <w:tcW w:type="dxa" w:w="1037"/>
          </w:tcPr>
          <w:p>
            <w:pPr>
              <w:jc w:val="left"/>
            </w:pPr>
            <w:r/>
            <w:r>
              <w:rPr>
                <w:rFonts w:ascii="Times New Roman" w:hAnsi="Times New Roman" w:cs="Times New Roman" w:eastAsia="Times New Roman"/>
                <w:sz w:val="14"/>
              </w:rPr>
              <w:t>Rexa, human judgements</w:t>
            </w:r>
          </w:p>
        </w:tc>
        <w:tc>
          <w:tcPr>
            <w:tcW w:type="dxa" w:w="1037"/>
          </w:tcPr>
          <w:p>
            <w:pPr>
              <w:jc w:val="left"/>
            </w:pPr>
            <w:r/>
            <w:r>
              <w:rPr>
                <w:rFonts w:ascii="Times New Roman" w:hAnsi="Times New Roman" w:cs="Times New Roman" w:eastAsia="Times New Roman"/>
                <w:sz w:val="14"/>
              </w:rPr>
              <w:t>APT best of three</w:t>
            </w:r>
          </w:p>
        </w:tc>
        <w:tc>
          <w:tcPr>
            <w:tcW w:type="dxa" w:w="1022"/>
          </w:tcPr>
          <w:p>
            <w:pPr>
              <w:jc w:val="left"/>
            </w:pPr>
            <w:r/>
            <w:r>
              <w:rPr>
                <w:rFonts w:ascii="Times New Roman" w:hAnsi="Times New Roman" w:cs="Times New Roman" w:eastAsia="Times New Roman"/>
                <w:sz w:val="14"/>
              </w:rPr>
              <w:t>Topic model only</w:t>
            </w:r>
          </w:p>
        </w:tc>
      </w:tr>
      <w:tr>
        <w:trPr>
          <w:cantSplit w:val="true"/>
        </w:trPr>
        <w:tc>
          <w:tcPr>
            <w:tcW w:type="dxa" w:w="432"/>
          </w:tcPr>
          <w:p>
            <w:pPr>
              <w:jc w:val="center"/>
            </w:pPr>
            <w:r/>
            <w:r>
              <w:rPr>
                <w:rFonts w:ascii="Times New Roman" w:hAnsi="Times New Roman" w:cs="Times New Roman" w:eastAsia="Times New Roman"/>
                <w:sz w:val="14"/>
              </w:rPr>
              <w:t>[9]</w:t>
            </w:r>
          </w:p>
        </w:tc>
        <w:tc>
          <w:tcPr>
            <w:tcW w:type="dxa" w:w="1368"/>
          </w:tcPr>
          <w:p>
            <w:pPr>
              <w:jc w:val="left"/>
            </w:pPr>
            <w:r/>
            <w:r>
              <w:rPr>
                <w:rFonts w:ascii="Times New Roman" w:hAnsi="Times New Roman" w:cs="Times New Roman" w:eastAsia="Times New Roman"/>
                <w:sz w:val="14"/>
              </w:rPr>
              <w:t>Decision and review dataset</w:t>
            </w:r>
          </w:p>
        </w:tc>
        <w:tc>
          <w:tcPr>
            <w:tcW w:type="dxa" w:w="1037"/>
          </w:tcPr>
          <w:p>
            <w:pPr>
              <w:jc w:val="left"/>
            </w:pPr>
            <w:r/>
            <w:r>
              <w:rPr>
                <w:rFonts w:ascii="Times New Roman" w:hAnsi="Times New Roman" w:cs="Times New Roman" w:eastAsia="Times New Roman"/>
                <w:sz w:val="14"/>
              </w:rPr>
              <w:t>14.7K drafts</w:t>
            </w:r>
          </w:p>
        </w:tc>
        <w:tc>
          <w:tcPr>
            <w:tcW w:type="dxa" w:w="1037"/>
          </w:tcPr>
          <w:p>
            <w:pPr>
              <w:jc w:val="left"/>
            </w:pPr>
            <w:r/>
            <w:r>
              <w:rPr>
                <w:rFonts w:ascii="Times New Roman" w:hAnsi="Times New Roman" w:cs="Times New Roman" w:eastAsia="Times New Roman"/>
                <w:sz w:val="14"/>
              </w:rPr>
              <w:t>Up to 21 % error cut</w:t>
            </w:r>
          </w:p>
        </w:tc>
        <w:tc>
          <w:tcPr>
            <w:tcW w:type="dxa" w:w="1022"/>
          </w:tcPr>
          <w:p>
            <w:pPr>
              <w:jc w:val="left"/>
            </w:pPr>
            <w:r/>
            <w:r>
              <w:rPr>
                <w:rFonts w:ascii="Times New Roman" w:hAnsi="Times New Roman" w:cs="Times New Roman" w:eastAsia="Times New Roman"/>
                <w:sz w:val="14"/>
              </w:rPr>
              <w:t>Old text models</w:t>
            </w:r>
          </w:p>
        </w:tc>
      </w:tr>
      <w:tr>
        <w:trPr>
          <w:cantSplit w:val="true"/>
        </w:trPr>
        <w:tc>
          <w:tcPr>
            <w:tcW w:type="dxa" w:w="432"/>
          </w:tcPr>
          <w:p>
            <w:pPr>
              <w:jc w:val="center"/>
            </w:pPr>
            <w:r/>
            <w:r>
              <w:rPr>
                <w:rFonts w:ascii="Times New Roman" w:hAnsi="Times New Roman" w:cs="Times New Roman" w:eastAsia="Times New Roman"/>
                <w:sz w:val="14"/>
              </w:rPr>
              <w:t>[11]</w:t>
            </w:r>
          </w:p>
        </w:tc>
        <w:tc>
          <w:tcPr>
            <w:tcW w:type="dxa" w:w="1368"/>
          </w:tcPr>
          <w:p>
            <w:pPr>
              <w:jc w:val="left"/>
            </w:pPr>
            <w:r/>
            <w:r>
              <w:rPr>
                <w:rFonts w:ascii="Times New Roman" w:hAnsi="Times New Roman" w:cs="Times New Roman" w:eastAsia="Times New Roman"/>
                <w:sz w:val="14"/>
              </w:rPr>
              <w:t>GPT-4 feedback on PDFs</w:t>
            </w:r>
          </w:p>
        </w:tc>
        <w:tc>
          <w:tcPr>
            <w:tcW w:type="dxa" w:w="1037"/>
          </w:tcPr>
          <w:p>
            <w:pPr>
              <w:jc w:val="left"/>
            </w:pPr>
            <w:r/>
            <w:r>
              <w:rPr>
                <w:rFonts w:ascii="Times New Roman" w:hAnsi="Times New Roman" w:cs="Times New Roman" w:eastAsia="Times New Roman"/>
                <w:sz w:val="14"/>
              </w:rPr>
              <w:t>Nature, ICLR papers</w:t>
            </w:r>
          </w:p>
        </w:tc>
        <w:tc>
          <w:tcPr>
            <w:tcW w:type="dxa" w:w="1037"/>
          </w:tcPr>
          <w:p>
            <w:pPr>
              <w:jc w:val="left"/>
            </w:pPr>
            <w:r/>
            <w:r>
              <w:rPr>
                <w:rFonts w:ascii="Times New Roman" w:hAnsi="Times New Roman" w:cs="Times New Roman" w:eastAsia="Times New Roman"/>
                <w:sz w:val="14"/>
              </w:rPr>
              <w:t>31-39 % overlap</w:t>
            </w:r>
          </w:p>
        </w:tc>
        <w:tc>
          <w:tcPr>
            <w:tcW w:type="dxa" w:w="1022"/>
          </w:tcPr>
          <w:p>
            <w:pPr>
              <w:jc w:val="left"/>
            </w:pPr>
            <w:r/>
            <w:r>
              <w:rPr>
                <w:rFonts w:ascii="Times New Roman" w:hAnsi="Times New Roman" w:cs="Times New Roman" w:eastAsia="Times New Roman"/>
                <w:sz w:val="14"/>
              </w:rPr>
              <w:t>No reviewer matching</w:t>
            </w:r>
          </w:p>
        </w:tc>
      </w:tr>
      <w:tr>
        <w:trPr>
          <w:cantSplit w:val="true"/>
        </w:trPr>
        <w:tc>
          <w:tcPr>
            <w:tcW w:type="dxa" w:w="432"/>
          </w:tcPr>
          <w:p>
            <w:pPr>
              <w:jc w:val="center"/>
            </w:pPr>
            <w:r/>
            <w:r>
              <w:rPr>
                <w:rFonts w:ascii="Times New Roman" w:hAnsi="Times New Roman" w:cs="Times New Roman" w:eastAsia="Times New Roman"/>
                <w:sz w:val="14"/>
              </w:rPr>
              <w:t>[8]</w:t>
            </w:r>
          </w:p>
        </w:tc>
        <w:tc>
          <w:tcPr>
            <w:tcW w:type="dxa" w:w="1368"/>
          </w:tcPr>
          <w:p>
            <w:pPr>
              <w:jc w:val="left"/>
            </w:pPr>
            <w:r/>
            <w:r>
              <w:rPr>
                <w:rFonts w:ascii="Times New Roman" w:hAnsi="Times New Roman" w:cs="Times New Roman" w:eastAsia="Times New Roman"/>
                <w:sz w:val="14"/>
              </w:rPr>
              <w:t>Debate graph + GNN</w:t>
            </w:r>
          </w:p>
        </w:tc>
        <w:tc>
          <w:tcPr>
            <w:tcW w:type="dxa" w:w="1037"/>
          </w:tcPr>
          <w:p>
            <w:pPr>
              <w:jc w:val="left"/>
            </w:pPr>
            <w:r/>
            <w:r>
              <w:rPr>
                <w:rFonts w:ascii="Times New Roman" w:hAnsi="Times New Roman" w:cs="Times New Roman" w:eastAsia="Times New Roman"/>
                <w:sz w:val="14"/>
              </w:rPr>
              <w:t>ICLR 2023-25</w:t>
            </w:r>
          </w:p>
        </w:tc>
        <w:tc>
          <w:tcPr>
            <w:tcW w:type="dxa" w:w="1037"/>
          </w:tcPr>
          <w:p>
            <w:pPr>
              <w:jc w:val="left"/>
            </w:pPr>
            <w:r/>
            <w:r>
              <w:rPr>
                <w:rFonts w:ascii="Times New Roman" w:hAnsi="Times New Roman" w:cs="Times New Roman" w:eastAsia="Times New Roman"/>
                <w:sz w:val="14"/>
              </w:rPr>
              <w:t>66-72 % accuracy</w:t>
            </w:r>
          </w:p>
        </w:tc>
        <w:tc>
          <w:tcPr>
            <w:tcW w:type="dxa" w:w="1022"/>
          </w:tcPr>
          <w:p>
            <w:pPr>
              <w:jc w:val="left"/>
            </w:pPr>
            <w:r/>
            <w:r>
              <w:rPr>
                <w:rFonts w:ascii="Times New Roman" w:hAnsi="Times New Roman" w:cs="Times New Roman" w:eastAsia="Times New Roman"/>
                <w:sz w:val="14"/>
              </w:rPr>
              <w:t>Decisions only</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Assignment research scores affinity but does not look at the submission; review research looks at the submission but does not choose reviewers; the base paper leaves availability and conflict of interest outside its experiments; and no work in this survey delivers both halves, locally and with a visible score, as one application. PeerScope targets that combination at demonstration scale; it does not attempt to match the base paper's data or its keyword-induction ensemble.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three tiers. A React single-page application calls a FastAPI service on the same machine; the service runs a set of plain Python service modules and keeps two SQLite tables, one for reviewers and one for stored analyses, plus the trained model files. There is no login and nothing is sent to a cloud service apart from a title query to OpenAlex.</w:t>
      </w:r>
    </w:p>
    <w:p>
      <w:pPr>
        <w:keepNext/>
        <w:spacing w:before="80"/>
        <w:jc w:val="center"/>
      </w:pPr>
      <w:r>
        <w:drawing>
          <wp:inline xmlns:a="http://schemas.openxmlformats.org/drawingml/2006/main" xmlns:pic="http://schemas.openxmlformats.org/drawingml/2006/picture">
            <wp:extent cx="3108960" cy="2611526"/>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3108960" cy="2611526"/>
                    </a:xfrm>
                    <a:prstGeom prst="rect"/>
                  </pic:spPr>
                </pic:pic>
              </a:graphicData>
            </a:graphic>
          </wp:inline>
        </w:drawing>
      </w:r>
    </w:p>
    <w:p>
      <w:pPr>
        <w:spacing w:after="100"/>
        <w:jc w:val="both"/>
      </w:pPr>
      <w:r>
        <w:rPr>
          <w:rFonts w:ascii="Times New Roman" w:hAnsi="Times New Roman" w:cs="Times New Roman" w:eastAsia="Times New Roman"/>
          <w:sz w:val="16"/>
        </w:rPr>
        <w:t>Fig. 1. PeerScope architecture: browser tier, FastAPI service with its service modules, and file and database storage.</w:t>
      </w:r>
    </w:p>
    <w:p>
      <w:pPr>
        <w:keepNext w:val="0"/>
        <w:spacing w:after="0" w:before="0" w:line="240" w:lineRule="auto"/>
        <w:ind w:firstLine="288"/>
        <w:jc w:val="both"/>
      </w:pPr>
      <w:r>
        <w:rPr>
          <w:rFonts w:ascii="Times New Roman" w:hAnsi="Times New Roman" w:cs="Times New Roman" w:eastAsia="Times New Roman"/>
          <w:b/>
          <w:sz w:val="20"/>
        </w:rPr>
        <w:t>Main flow.</w:t>
      </w:r>
      <w:r>
        <w:rPr>
          <w:rFonts w:ascii="Times New Roman" w:hAnsi="Times New Roman" w:cs="Times New Roman" w:eastAsia="Times New Roman"/>
          <w:sz w:val="20"/>
        </w:rPr>
        <w:t xml:space="preserve"> Fig. 2 follows one upload (at most 20 MB, with a PDF header check). PyMuPDF extracts text page by page; the text is normalised, the title is taken from the first plausible line, nine section types are found by pattern matching and references are parsed. Frequency keywords, a 21-term method lexicon and 18 topic hints describe the paper, and four structural signals (section completeness A, evidence coverage B, method clarity C and presentation D) combine as</w:t>
      </w:r>
    </w:p>
    <w:p>
      <w:pPr>
        <w:keepLines/>
        <w:spacing w:before="40" w:after="40"/>
        <w:jc w:val="center"/>
      </w:pPr>
      <w:r>
        <w:rPr>
          <w:rFonts w:ascii="Times New Roman" w:hAnsi="Times New Roman" w:cs="Times New Roman" w:eastAsia="Times New Roman"/>
          <w:b w:val="0"/>
          <w:i/>
          <w:sz w:val="20"/>
        </w:rPr>
        <w:t>S</w:t>
      </w:r>
      <w:r>
        <w:rPr>
          <w:rFonts w:ascii="Times New Roman" w:hAnsi="Times New Roman" w:cs="Times New Roman" w:eastAsia="Times New Roman"/>
          <w:b w:val="0"/>
          <w:i/>
          <w:sz w:val="20"/>
          <w:vertAlign w:val="subscript"/>
        </w:rPr>
        <w:t>struct</w:t>
      </w:r>
      <w:r>
        <w:rPr>
          <w:rFonts w:ascii="Times New Roman" w:hAnsi="Times New Roman" w:cs="Times New Roman" w:eastAsia="Times New Roman"/>
          <w:b w:val="0"/>
          <w:i/>
          <w:sz w:val="20"/>
        </w:rPr>
        <w:t xml:space="preserve"> = 0.35 A + 0.25 B + 0.25 C + 0.15 D.</w:t>
      </w:r>
      <w:r>
        <w:rPr>
          <w:rFonts w:ascii="Times New Roman" w:hAnsi="Times New Roman" w:cs="Times New Roman" w:eastAsia="Times New Roman"/>
          <w:sz w:val="20"/>
        </w:rPr>
        <w:t xml:space="preserve">        (1)</w:t>
      </w:r>
    </w:p>
    <w:p>
      <w:pPr>
        <w:keepNext/>
        <w:spacing w:before="80"/>
        <w:jc w:val="center"/>
      </w:pPr>
      <w:r>
        <w:drawing>
          <wp:inline xmlns:a="http://schemas.openxmlformats.org/drawingml/2006/main" xmlns:pic="http://schemas.openxmlformats.org/drawingml/2006/picture">
            <wp:extent cx="3108960" cy="1803197"/>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0"/>
                    <a:stretch>
                      <a:fillRect/>
                    </a:stretch>
                  </pic:blipFill>
                  <pic:spPr>
                    <a:xfrm>
                      <a:off x="0" y="0"/>
                      <a:ext cx="3108960" cy="1803197"/>
                    </a:xfrm>
                    <a:prstGeom prst="rect"/>
                  </pic:spPr>
                </pic:pic>
              </a:graphicData>
            </a:graphic>
          </wp:inline>
        </w:drawing>
      </w:r>
    </w:p>
    <w:p>
      <w:pPr>
        <w:spacing w:after="100"/>
        <w:jc w:val="both"/>
      </w:pPr>
      <w:r>
        <w:rPr>
          <w:rFonts w:ascii="Times New Roman" w:hAnsi="Times New Roman" w:cs="Times New Roman" w:eastAsia="Times New Roman"/>
          <w:sz w:val="16"/>
        </w:rPr>
        <w:t>Fig. 2. Main flow: extraction, signals, decision model, review, literature and reviewer ranking.</w:t>
      </w:r>
    </w:p>
    <w:p>
      <w:pPr>
        <w:keepNext w:val="0"/>
        <w:spacing w:after="0" w:before="0" w:line="240" w:lineRule="auto"/>
        <w:ind w:firstLine="288"/>
        <w:jc w:val="both"/>
      </w:pPr>
      <w:r>
        <w:rPr>
          <w:rFonts w:ascii="Times New Roman" w:hAnsi="Times New Roman" w:cs="Times New Roman" w:eastAsia="Times New Roman"/>
          <w:b/>
          <w:sz w:val="20"/>
        </w:rPr>
        <w:t>Decision signal.</w:t>
      </w:r>
      <w:r>
        <w:rPr>
          <w:rFonts w:ascii="Times New Roman" w:hAnsi="Times New Roman" w:cs="Times New Roman" w:eastAsia="Times New Roman"/>
          <w:sz w:val="20"/>
        </w:rPr>
        <w:t xml:space="preserve"> A TF-IDF representation (8,000 word 1-2-grams and 4,000 character 3-5-grams) feeds a logistic regression with balanced class weights [14] that outputs probabilities for accept, borderline and reject, p(k|x) = softmax(Wx + b). No public peer-review corpus could be fetched, so the model is trained on a synthetic set of 1,400 papers generated by the project (80/20 stratified split, seed 42). Its labels are drawn from the same strength and weakness phrases that appear in the text, and the borderline class arises from both groups, so no text classifier can exceed about 0.56 accuracy on it.</w:t>
      </w:r>
    </w:p>
    <w:p>
      <w:pPr>
        <w:keepNext w:val="0"/>
        <w:spacing w:after="0" w:before="0" w:line="240" w:lineRule="auto"/>
        <w:ind w:firstLine="288"/>
        <w:jc w:val="both"/>
      </w:pPr>
      <w:r>
        <w:rPr>
          <w:rFonts w:ascii="Times New Roman" w:hAnsi="Times New Roman" w:cs="Times New Roman" w:eastAsia="Times New Roman"/>
          <w:b/>
          <w:sz w:val="20"/>
        </w:rPr>
        <w:t>Review.</w:t>
      </w:r>
      <w:r>
        <w:rPr>
          <w:rFonts w:ascii="Times New Roman" w:hAnsi="Times New Roman" w:cs="Times New Roman" w:eastAsia="Times New Roman"/>
          <w:sz w:val="20"/>
        </w:rPr>
        <w:t xml:space="preserve"> Deterministic rules always produce strengths, concerns and recommendations from the signals. If it can be loaded, a locally run Qwen2.5-1.5B-Instruct model [16] adds a three-step analyse, critique and synthesise text; if not, the interface says so and shows only the deterministic part. Related work is searched in OpenAlex by title and ranked by embedding similarity.</w:t>
      </w:r>
    </w:p>
    <w:p>
      <w:pPr>
        <w:keepNext w:val="0"/>
        <w:spacing w:after="0" w:before="0" w:line="240" w:lineRule="auto"/>
        <w:ind w:firstLine="288"/>
        <w:jc w:val="both"/>
      </w:pPr>
      <w:r>
        <w:rPr>
          <w:rFonts w:ascii="Times New Roman" w:hAnsi="Times New Roman" w:cs="Times New Roman" w:eastAsia="Times New Roman"/>
          <w:b/>
          <w:sz w:val="20"/>
        </w:rPr>
        <w:t>Reviewer matching.</w:t>
      </w:r>
      <w:r>
        <w:rPr>
          <w:rFonts w:ascii="Times New Roman" w:hAnsi="Times New Roman" w:cs="Times New Roman" w:eastAsia="Times New Roman"/>
          <w:sz w:val="20"/>
        </w:rPr>
        <w:t xml:space="preserve"> Paper and reviewer profile texts are embedded with all-MiniLM-L6-v2, with a TF-IDF fallback when the model cannot be loaded. The score of reviewer r for paper p is</w:t>
      </w:r>
    </w:p>
    <w:p>
      <w:pPr>
        <w:keepLines/>
        <w:spacing w:before="40" w:after="40"/>
        <w:jc w:val="center"/>
      </w:pPr>
      <w:r>
        <w:rPr>
          <w:rFonts w:ascii="Times New Roman" w:hAnsi="Times New Roman" w:cs="Times New Roman" w:eastAsia="Times New Roman"/>
          <w:b w:val="0"/>
          <w:i/>
          <w:sz w:val="20"/>
        </w:rPr>
        <w:t>S(p, r) = 100 · clip(0.55 s</w:t>
      </w:r>
      <w:r>
        <w:rPr>
          <w:rFonts w:ascii="Times New Roman" w:hAnsi="Times New Roman" w:cs="Times New Roman" w:eastAsia="Times New Roman"/>
          <w:b w:val="0"/>
          <w:i/>
          <w:sz w:val="20"/>
          <w:vertAlign w:val="subscript"/>
        </w:rPr>
        <w:t>emb</w:t>
      </w:r>
      <w:r>
        <w:rPr>
          <w:rFonts w:ascii="Times New Roman" w:hAnsi="Times New Roman" w:cs="Times New Roman" w:eastAsia="Times New Roman"/>
          <w:b w:val="0"/>
          <w:i/>
          <w:sz w:val="20"/>
        </w:rPr>
        <w:t xml:space="preserve"> + 0.20 s</w:t>
      </w:r>
      <w:r>
        <w:rPr>
          <w:rFonts w:ascii="Times New Roman" w:hAnsi="Times New Roman" w:cs="Times New Roman" w:eastAsia="Times New Roman"/>
          <w:b w:val="0"/>
          <w:i/>
          <w:sz w:val="20"/>
          <w:vertAlign w:val="subscript"/>
        </w:rPr>
        <w:t>kw</w:t>
      </w:r>
      <w:r>
        <w:rPr>
          <w:rFonts w:ascii="Times New Roman" w:hAnsi="Times New Roman" w:cs="Times New Roman" w:eastAsia="Times New Roman"/>
          <w:b w:val="0"/>
          <w:i/>
          <w:sz w:val="20"/>
        </w:rPr>
        <w:t xml:space="preserve"> + 0.15 s</w:t>
      </w:r>
      <w:r>
        <w:rPr>
          <w:rFonts w:ascii="Times New Roman" w:hAnsi="Times New Roman" w:cs="Times New Roman" w:eastAsia="Times New Roman"/>
          <w:b w:val="0"/>
          <w:i/>
          <w:sz w:val="20"/>
          <w:vertAlign w:val="subscript"/>
        </w:rPr>
        <w:t>meth</w:t>
      </w:r>
      <w:r>
        <w:rPr>
          <w:rFonts w:ascii="Times New Roman" w:hAnsi="Times New Roman" w:cs="Times New Roman" w:eastAsia="Times New Roman"/>
          <w:b w:val="0"/>
          <w:i/>
          <w:sz w:val="20"/>
        </w:rPr>
        <w:t xml:space="preserve"> + 0.10 s</w:t>
      </w:r>
      <w:r>
        <w:rPr>
          <w:rFonts w:ascii="Times New Roman" w:hAnsi="Times New Roman" w:cs="Times New Roman" w:eastAsia="Times New Roman"/>
          <w:b w:val="0"/>
          <w:i/>
          <w:sz w:val="20"/>
          <w:vertAlign w:val="subscript"/>
        </w:rPr>
        <w:t>avail</w:t>
      </w:r>
      <w:r>
        <w:rPr>
          <w:rFonts w:ascii="Times New Roman" w:hAnsi="Times New Roman" w:cs="Times New Roman" w:eastAsia="Times New Roman"/>
          <w:b w:val="0"/>
          <w:i/>
          <w:sz w:val="20"/>
        </w:rPr>
        <w:t xml:space="preserve"> − 0.60 c),</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where s_emb is the cosine similarity of the embeddings, s_kw and s_meth are overlap scores between paper and reviewer keywords, and between methods and topics, s_avail = 1 − load/capacity, and c is 1 when a conflict is detected and 0 otherwise. A conflict is a listed conflict term, the reviewer's full name or the reviewer's affiliation appearing in the first 3,000 characters of the paper. Scores of at least 65, 45 and 25 are labelled Strong, Good and Possible. Every recommendation shows all five terms, the matching words and a one-line explanation, which is the auditability inherited from the base paper's principle [1]. The directory holds six clearly labelled demo reviewers; the ranking is only a ranking, with no global assignment optimiser.</w:t>
      </w:r>
    </w:p>
    <w:p>
      <w:pPr>
        <w:keepNext/>
        <w:spacing w:before="80"/>
        <w:jc w:val="center"/>
      </w:pPr>
      <w:r>
        <w:drawing>
          <wp:inline xmlns:a="http://schemas.openxmlformats.org/drawingml/2006/main" xmlns:pic="http://schemas.openxmlformats.org/drawingml/2006/picture">
            <wp:extent cx="2834640" cy="3118104"/>
            <wp:docPr id="3" name="Picture 3"/>
            <wp:cNvGraphicFramePr>
              <a:graphicFrameLocks noChangeAspect="1"/>
            </wp:cNvGraphicFramePr>
            <a:graphic>
              <a:graphicData uri="http://schemas.openxmlformats.org/drawingml/2006/picture">
                <pic:pic>
                  <pic:nvPicPr>
                    <pic:cNvPr id="0" name="10_flowchart_matching.png"/>
                    <pic:cNvPicPr/>
                  </pic:nvPicPr>
                  <pic:blipFill>
                    <a:blip r:embed="rId11"/>
                    <a:stretch>
                      <a:fillRect/>
                    </a:stretch>
                  </pic:blipFill>
                  <pic:spPr>
                    <a:xfrm>
                      <a:off x="0" y="0"/>
                      <a:ext cx="2834640" cy="3118104"/>
                    </a:xfrm>
                    <a:prstGeom prst="rect"/>
                  </pic:spPr>
                </pic:pic>
              </a:graphicData>
            </a:graphic>
          </wp:inline>
        </w:drawing>
      </w:r>
    </w:p>
    <w:p>
      <w:pPr>
        <w:spacing w:after="100"/>
        <w:jc w:val="both"/>
      </w:pPr>
      <w:r>
        <w:rPr>
          <w:rFonts w:ascii="Times New Roman" w:hAnsi="Times New Roman" w:cs="Times New Roman" w:eastAsia="Times New Roman"/>
          <w:sz w:val="16"/>
        </w:rPr>
        <w:t>Fig. 3. Core algorithm: profile construction, embedding similarity, overlap, availability, conflict detection, weighted score and ranking.</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service exposes twelve endpoints: health, model metrics, create, list, update, delete, import and export of reviewers, analysis upload, history, retrieval and export as JSON or PDF. Uploads are rejected with a clear message when the extension or content type is wrong, the file is empty, the PDF header is missing (HTTP 400) or the size exceeds 20 MB (HTTP 413); reviewer fields are length-limited by Pydantic schemas (HTTP 422), unknown identifiers return 404, and an unexpected error returns a generic 500 without internal details. A stored analysis keeps the full result as JSON. The code base is 1,449 lines of Python for the service, 6,926 lines for the eight-page interface and 114 lines of tests.</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The decision model is evaluated on the 280 held-out synthetic papers, against majority-class, naive Bayes and unweighted logistic-regression baselines, and over five different splits. Ranking is evaluated on 40 abstracts written by the team, each labelled with the demo reviewer or reviewers whose profile fits; top-1, top-3 and mean reciprocal rank are reported for four score configurations. Fifteen conflict links were injected into a paper (12 literal, 3 paraphrased) and 240 clean paper-reviewer pairs were checked for false flags. Four real PDFs, including the base paper, were run through the pipeline, and latency was measured stage by stage and over HTTP.</w:t>
      </w:r>
    </w:p>
    <w:p>
      <w:pPr>
        <w:keepNext w:val="0"/>
        <w:spacing w:after="0" w:before="0" w:line="240" w:lineRule="auto"/>
        <w:ind w:firstLine="288"/>
        <w:jc w:val="both"/>
      </w:pPr>
      <w:r>
        <w:rPr>
          <w:rFonts w:ascii="Times New Roman" w:hAnsi="Times New Roman" w:cs="Times New Roman" w:eastAsia="Times New Roman"/>
          <w:b/>
          <w:sz w:val="20"/>
        </w:rPr>
        <w:t>Verification.</w:t>
      </w:r>
      <w:r>
        <w:rPr>
          <w:rFonts w:ascii="Times New Roman" w:hAnsi="Times New Roman" w:cs="Times New Roman" w:eastAsia="Times New Roman"/>
          <w:sz w:val="20"/>
        </w:rPr>
        <w:t xml:space="preserve"> 7 pytest tests (extraction, features, matching and conflict, model service, health, reviewer create-read-update-delete and a full analysis) and a 24-check smoke test against a running server (validation, CRUD, CSV, analysis, history, export, CORS) pass in 34 s with the language model switched off.</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numbers come from one machine (Section I-A). The decision-model figures use the 280-paper synthetic test split; the ranking figures use the 40-abstract probe set and the six demo reviewers, whose profiles and labels were written by the same team, so they are optimistic and are not independent expert judgements. Table II lists the main results.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1656"/>
          </w:tcPr>
          <w:p>
            <w:pPr>
              <w:jc w:val="center"/>
            </w:pPr>
            <w:r/>
            <w:r>
              <w:rPr>
                <w:rFonts w:ascii="Times New Roman" w:hAnsi="Times New Roman" w:cs="Times New Roman" w:eastAsia="Times New Roman"/>
                <w:b/>
                <w:sz w:val="14"/>
              </w:rPr>
              <w:t>Evaluation</w:t>
            </w:r>
          </w:p>
        </w:tc>
        <w:tc>
          <w:tcPr>
            <w:tcW w:type="dxa" w:w="2088"/>
          </w:tcPr>
          <w:p>
            <w:pPr>
              <w:jc w:val="center"/>
            </w:pPr>
            <w:r/>
            <w:r>
              <w:rPr>
                <w:rFonts w:ascii="Times New Roman" w:hAnsi="Times New Roman" w:cs="Times New Roman" w:eastAsia="Times New Roman"/>
                <w:b/>
                <w:sz w:val="14"/>
              </w:rPr>
              <w:t>Setting</w:t>
            </w:r>
          </w:p>
        </w:tc>
        <w:tc>
          <w:tcPr>
            <w:tcW w:type="dxa" w:w="1152"/>
          </w:tcPr>
          <w:p>
            <w:pPr>
              <w:jc w:val="center"/>
            </w:pPr>
            <w:r/>
            <w:r>
              <w:rPr>
                <w:rFonts w:ascii="Times New Roman" w:hAnsi="Times New Roman" w:cs="Times New Roman" w:eastAsia="Times New Roman"/>
                <w:b/>
                <w:sz w:val="14"/>
              </w:rPr>
              <w:t>Result</w:t>
            </w:r>
          </w:p>
        </w:tc>
      </w:tr>
      <w:tr>
        <w:trPr>
          <w:cantSplit w:val="true"/>
        </w:trPr>
        <w:tc>
          <w:tcPr>
            <w:tcW w:type="dxa" w:w="1656"/>
          </w:tcPr>
          <w:p>
            <w:pPr>
              <w:jc w:val="left"/>
            </w:pPr>
            <w:r/>
            <w:r>
              <w:rPr>
                <w:rFonts w:ascii="Times New Roman" w:hAnsi="Times New Roman" w:cs="Times New Roman" w:eastAsia="Times New Roman"/>
                <w:sz w:val="14"/>
              </w:rPr>
              <w:t>Decision model, 280 test papers</w:t>
            </w:r>
          </w:p>
        </w:tc>
        <w:tc>
          <w:tcPr>
            <w:tcW w:type="dxa" w:w="2088"/>
          </w:tcPr>
          <w:p>
            <w:pPr>
              <w:jc w:val="left"/>
            </w:pPr>
            <w:r/>
            <w:r>
              <w:rPr>
                <w:rFonts w:ascii="Times New Roman" w:hAnsi="Times New Roman" w:cs="Times New Roman" w:eastAsia="Times New Roman"/>
                <w:sz w:val="14"/>
              </w:rPr>
              <w:t>accuracy / macro F1</w:t>
            </w:r>
          </w:p>
        </w:tc>
        <w:tc>
          <w:tcPr>
            <w:tcW w:type="dxa" w:w="1152"/>
          </w:tcPr>
          <w:p>
            <w:pPr>
              <w:jc w:val="center"/>
            </w:pPr>
            <w:r/>
            <w:r>
              <w:rPr>
                <w:rFonts w:ascii="Times New Roman" w:hAnsi="Times New Roman" w:cs="Times New Roman" w:eastAsia="Times New Roman"/>
                <w:sz w:val="14"/>
              </w:rPr>
              <w:t>0.55 / 0.509</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macro precision / recall</w:t>
            </w:r>
          </w:p>
        </w:tc>
        <w:tc>
          <w:tcPr>
            <w:tcW w:type="dxa" w:w="1152"/>
          </w:tcPr>
          <w:p>
            <w:pPr>
              <w:jc w:val="center"/>
            </w:pPr>
            <w:r/>
            <w:r>
              <w:rPr>
                <w:rFonts w:ascii="Times New Roman" w:hAnsi="Times New Roman" w:cs="Times New Roman" w:eastAsia="Times New Roman"/>
                <w:sz w:val="14"/>
              </w:rPr>
              <w:t>0.53 / 0.65</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ROC-AUC (one vs rest)</w:t>
            </w:r>
          </w:p>
        </w:tc>
        <w:tc>
          <w:tcPr>
            <w:tcW w:type="dxa" w:w="1152"/>
          </w:tcPr>
          <w:p>
            <w:pPr>
              <w:jc w:val="center"/>
            </w:pPr>
            <w:r/>
            <w:r>
              <w:rPr>
                <w:rFonts w:ascii="Times New Roman" w:hAnsi="Times New Roman" w:cs="Times New Roman" w:eastAsia="Times New Roman"/>
                <w:sz w:val="14"/>
              </w:rPr>
              <w:t>0.771</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5 splits, accuracy</w:t>
            </w:r>
          </w:p>
        </w:tc>
        <w:tc>
          <w:tcPr>
            <w:tcW w:type="dxa" w:w="1152"/>
          </w:tcPr>
          <w:p>
            <w:pPr>
              <w:jc w:val="center"/>
            </w:pPr>
            <w:r/>
            <w:r>
              <w:rPr>
                <w:rFonts w:ascii="Times New Roman" w:hAnsi="Times New Roman" w:cs="Times New Roman" w:eastAsia="Times New Roman"/>
                <w:sz w:val="14"/>
              </w:rPr>
              <w:t>0.545 +/- 0.028</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accept vs reject only</w:t>
            </w:r>
          </w:p>
        </w:tc>
        <w:tc>
          <w:tcPr>
            <w:tcW w:type="dxa" w:w="1152"/>
          </w:tcPr>
          <w:p>
            <w:pPr>
              <w:jc w:val="center"/>
            </w:pPr>
            <w:r/>
            <w:r>
              <w:rPr>
                <w:rFonts w:ascii="Times New Roman" w:hAnsi="Times New Roman" w:cs="Times New Roman" w:eastAsia="Times New Roman"/>
                <w:sz w:val="14"/>
              </w:rPr>
              <w:t>93% (145/156)</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baselines, accuracy</w:t>
            </w:r>
          </w:p>
        </w:tc>
        <w:tc>
          <w:tcPr>
            <w:tcW w:type="dxa" w:w="1152"/>
          </w:tcPr>
          <w:p>
            <w:pPr>
              <w:jc w:val="center"/>
            </w:pPr>
            <w:r/>
            <w:r>
              <w:rPr>
                <w:rFonts w:ascii="Times New Roman" w:hAnsi="Times New Roman" w:cs="Times New Roman" w:eastAsia="Times New Roman"/>
                <w:sz w:val="14"/>
              </w:rPr>
              <w:t>majority 0.44, NB 0.46</w:t>
            </w:r>
          </w:p>
        </w:tc>
      </w:tr>
      <w:tr>
        <w:trPr>
          <w:cantSplit w:val="true"/>
        </w:trPr>
        <w:tc>
          <w:tcPr>
            <w:tcW w:type="dxa" w:w="1656"/>
          </w:tcPr>
          <w:p>
            <w:pPr>
              <w:jc w:val="left"/>
            </w:pPr>
            <w:r/>
            <w:r>
              <w:rPr>
                <w:rFonts w:ascii="Times New Roman" w:hAnsi="Times New Roman" w:cs="Times New Roman" w:eastAsia="Times New Roman"/>
                <w:sz w:val="14"/>
              </w:rPr>
              <w:t>Ranking, 40 probes</w:t>
            </w:r>
          </w:p>
        </w:tc>
        <w:tc>
          <w:tcPr>
            <w:tcW w:type="dxa" w:w="2088"/>
          </w:tcPr>
          <w:p>
            <w:pPr>
              <w:jc w:val="left"/>
            </w:pPr>
            <w:r/>
            <w:r>
              <w:rPr>
                <w:rFonts w:ascii="Times New Roman" w:hAnsi="Times New Roman" w:cs="Times New Roman" w:eastAsia="Times New Roman"/>
                <w:sz w:val="14"/>
              </w:rPr>
              <w:t>hybrid, MiniLM: top-1 / top-3 / MRR</w:t>
            </w:r>
          </w:p>
        </w:tc>
        <w:tc>
          <w:tcPr>
            <w:tcW w:type="dxa" w:w="1152"/>
          </w:tcPr>
          <w:p>
            <w:pPr>
              <w:jc w:val="center"/>
            </w:pPr>
            <w:r/>
            <w:r>
              <w:rPr>
                <w:rFonts w:ascii="Times New Roman" w:hAnsi="Times New Roman" w:cs="Times New Roman" w:eastAsia="Times New Roman"/>
                <w:sz w:val="14"/>
              </w:rPr>
              <w:t>0.95 / 0.97 / 0.96</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semantic only, MiniLM</w:t>
            </w:r>
          </w:p>
        </w:tc>
        <w:tc>
          <w:tcPr>
            <w:tcW w:type="dxa" w:w="1152"/>
          </w:tcPr>
          <w:p>
            <w:pPr>
              <w:jc w:val="center"/>
            </w:pPr>
            <w:r/>
            <w:r>
              <w:rPr>
                <w:rFonts w:ascii="Times New Roman" w:hAnsi="Times New Roman" w:cs="Times New Roman" w:eastAsia="Times New Roman"/>
                <w:sz w:val="14"/>
              </w:rPr>
              <w:t>0.97 / 1.00 / 0.98</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lexical only</w:t>
            </w:r>
          </w:p>
        </w:tc>
        <w:tc>
          <w:tcPr>
            <w:tcW w:type="dxa" w:w="1152"/>
          </w:tcPr>
          <w:p>
            <w:pPr>
              <w:jc w:val="center"/>
            </w:pPr>
            <w:r/>
            <w:r>
              <w:rPr>
                <w:rFonts w:ascii="Times New Roman" w:hAnsi="Times New Roman" w:cs="Times New Roman" w:eastAsia="Times New Roman"/>
                <w:sz w:val="14"/>
              </w:rPr>
              <w:t>0.62 / 0.82 / 0.74</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hybrid, TF-IDF fallback</w:t>
            </w:r>
          </w:p>
        </w:tc>
        <w:tc>
          <w:tcPr>
            <w:tcW w:type="dxa" w:w="1152"/>
          </w:tcPr>
          <w:p>
            <w:pPr>
              <w:jc w:val="center"/>
            </w:pPr>
            <w:r/>
            <w:r>
              <w:rPr>
                <w:rFonts w:ascii="Times New Roman" w:hAnsi="Times New Roman" w:cs="Times New Roman" w:eastAsia="Times New Roman"/>
                <w:sz w:val="14"/>
              </w:rPr>
              <w:t>0.75 / 0.93 / 0.84</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random choice, top-1 / top-3</w:t>
            </w:r>
          </w:p>
        </w:tc>
        <w:tc>
          <w:tcPr>
            <w:tcW w:type="dxa" w:w="1152"/>
          </w:tcPr>
          <w:p>
            <w:pPr>
              <w:jc w:val="center"/>
            </w:pPr>
            <w:r/>
            <w:r>
              <w:rPr>
                <w:rFonts w:ascii="Times New Roman" w:hAnsi="Times New Roman" w:cs="Times New Roman" w:eastAsia="Times New Roman"/>
                <w:sz w:val="14"/>
              </w:rPr>
              <w:t>0.18 / 0.53</w:t>
            </w:r>
          </w:p>
        </w:tc>
      </w:tr>
      <w:tr>
        <w:trPr>
          <w:cantSplit w:val="true"/>
        </w:trPr>
        <w:tc>
          <w:tcPr>
            <w:tcW w:type="dxa" w:w="1656"/>
          </w:tcPr>
          <w:p>
            <w:pPr>
              <w:jc w:val="left"/>
            </w:pPr>
            <w:r/>
            <w:r>
              <w:rPr>
                <w:rFonts w:ascii="Times New Roman" w:hAnsi="Times New Roman" w:cs="Times New Roman" w:eastAsia="Times New Roman"/>
                <w:sz w:val="14"/>
              </w:rPr>
              <w:t>Conflict check</w:t>
            </w:r>
          </w:p>
        </w:tc>
        <w:tc>
          <w:tcPr>
            <w:tcW w:type="dxa" w:w="2088"/>
          </w:tcPr>
          <w:p>
            <w:pPr>
              <w:jc w:val="left"/>
            </w:pPr>
            <w:r/>
            <w:r>
              <w:rPr>
                <w:rFonts w:ascii="Times New Roman" w:hAnsi="Times New Roman" w:cs="Times New Roman" w:eastAsia="Times New Roman"/>
                <w:sz w:val="14"/>
              </w:rPr>
              <w:t>literal / paraphrased links flagged</w:t>
            </w:r>
          </w:p>
        </w:tc>
        <w:tc>
          <w:tcPr>
            <w:tcW w:type="dxa" w:w="1152"/>
          </w:tcPr>
          <w:p>
            <w:pPr>
              <w:jc w:val="center"/>
            </w:pPr>
            <w:r/>
            <w:r>
              <w:rPr>
                <w:rFonts w:ascii="Times New Roman" w:hAnsi="Times New Roman" w:cs="Times New Roman" w:eastAsia="Times New Roman"/>
                <w:sz w:val="14"/>
              </w:rPr>
              <w:t>12/12 / 0/3</w:t>
            </w:r>
          </w:p>
        </w:tc>
      </w:tr>
      <w:tr>
        <w:trPr>
          <w:cantSplit w:val="true"/>
        </w:trPr>
        <w:tc>
          <w:tcPr>
            <w:tcW w:type="dxa" w:w="1656"/>
          </w:tcPr>
          <w:p>
            <w:pPr>
              <w:jc w:val="left"/>
            </w:pPr>
            <w:r/>
          </w:p>
        </w:tc>
        <w:tc>
          <w:tcPr>
            <w:tcW w:type="dxa" w:w="2088"/>
          </w:tcPr>
          <w:p>
            <w:pPr>
              <w:jc w:val="left"/>
            </w:pPr>
            <w:r/>
            <w:r>
              <w:rPr>
                <w:rFonts w:ascii="Times New Roman" w:hAnsi="Times New Roman" w:cs="Times New Roman" w:eastAsia="Times New Roman"/>
                <w:sz w:val="14"/>
              </w:rPr>
              <w:t>false flags, clean pairs</w:t>
            </w:r>
          </w:p>
        </w:tc>
        <w:tc>
          <w:tcPr>
            <w:tcW w:type="dxa" w:w="1152"/>
          </w:tcPr>
          <w:p>
            <w:pPr>
              <w:jc w:val="center"/>
            </w:pPr>
            <w:r/>
            <w:r>
              <w:rPr>
                <w:rFonts w:ascii="Times New Roman" w:hAnsi="Times New Roman" w:cs="Times New Roman" w:eastAsia="Times New Roman"/>
                <w:sz w:val="14"/>
              </w:rPr>
              <w:t>0/240</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3223209"/>
            <wp:docPr id="4" name="Picture 4"/>
            <wp:cNvGraphicFramePr>
              <a:graphicFrameLocks noChangeAspect="1"/>
            </wp:cNvGraphicFramePr>
            <a:graphic>
              <a:graphicData uri="http://schemas.openxmlformats.org/drawingml/2006/picture">
                <pic:pic>
                  <pic:nvPicPr>
                    <pic:cNvPr id="0" name="paper_results.png"/>
                    <pic:cNvPicPr/>
                  </pic:nvPicPr>
                  <pic:blipFill>
                    <a:blip r:embed="rId12"/>
                    <a:stretch>
                      <a:fillRect/>
                    </a:stretch>
                  </pic:blipFill>
                  <pic:spPr>
                    <a:xfrm>
                      <a:off x="0" y="0"/>
                      <a:ext cx="3108960" cy="3223209"/>
                    </a:xfrm>
                    <a:prstGeom prst="rect"/>
                  </pic:spPr>
                </pic:pic>
              </a:graphicData>
            </a:graphic>
          </wp:inline>
        </w:drawing>
      </w:r>
    </w:p>
    <w:p>
      <w:pPr>
        <w:spacing w:after="100"/>
        <w:jc w:val="both"/>
      </w:pPr>
      <w:r>
        <w:rPr>
          <w:rFonts w:ascii="Times New Roman" w:hAnsi="Times New Roman" w:cs="Times New Roman" w:eastAsia="Times New Roman"/>
          <w:sz w:val="16"/>
        </w:rPr>
        <w:t>Fig. 4. (a) Decision model against baselines, with the ceiling set by the synthetic labels. (b) Top-1 ranking accuracy on the probe set for three score configurations with two embedders.</w:t>
      </w:r>
    </w:p>
    <w:p>
      <w:pPr>
        <w:keepNext w:val="0"/>
        <w:spacing w:after="0" w:before="0" w:line="240" w:lineRule="auto"/>
        <w:ind w:firstLine="288"/>
        <w:jc w:val="both"/>
      </w:pPr>
      <w:r>
        <w:rPr>
          <w:rFonts w:ascii="Times New Roman" w:hAnsi="Times New Roman" w:cs="Times New Roman" w:eastAsia="Times New Roman"/>
          <w:b/>
          <w:sz w:val="20"/>
        </w:rPr>
        <w:t>Decision model.</w:t>
      </w:r>
      <w:r>
        <w:rPr>
          <w:rFonts w:ascii="Times New Roman" w:hAnsi="Times New Roman" w:cs="Times New Roman" w:eastAsia="Times New Roman"/>
          <w:sz w:val="20"/>
        </w:rPr>
        <w:t xml:space="preserve"> Accuracy 0.55 is only 0.01 below the 0.56 ceiling of the labels, and it is 0.11 above the majority baseline (0.44). Accept and reject are found (recall 0.96 and 0.90) but borderline is not (recall 0.07): 45 of 124 borderline papers were called accept and 70 reject. Over five splits accuracy varies from 0.51 to 0.59. On the four real PDFs, including the base paper, the model answered borderline every time with confidence 0.55 to 0.66, so its signal carries no evidence about real papers and the interface labels it as synthetic.</w:t>
      </w:r>
    </w:p>
    <w:p>
      <w:pPr>
        <w:keepNext w:val="0"/>
        <w:spacing w:after="0" w:before="0" w:line="240" w:lineRule="auto"/>
        <w:ind w:firstLine="288"/>
        <w:jc w:val="both"/>
      </w:pPr>
      <w:r>
        <w:rPr>
          <w:rFonts w:ascii="Times New Roman" w:hAnsi="Times New Roman" w:cs="Times New Roman" w:eastAsia="Times New Roman"/>
          <w:b/>
          <w:sz w:val="20"/>
        </w:rPr>
        <w:t>Ranking.</w:t>
      </w:r>
      <w:r>
        <w:rPr>
          <w:rFonts w:ascii="Times New Roman" w:hAnsi="Times New Roman" w:cs="Times New Roman" w:eastAsia="Times New Roman"/>
          <w:sz w:val="20"/>
        </w:rPr>
        <w:t xml:space="preserve"> With sentence embeddings the hybrid score ranks an acceptable reviewer first for 95% of the probes, against 18% for a random choice, and in the top three for 97.5%. Semantic similarity alone is slightly better (97.5%), lexical overlap alone is clearly worse (62.5%), and the offline fallback falls to 75%, because its vocabulary is fitted once on the first request and then frozen. The hybrid terms therefore do not improve ranking on this probe set; their value is the explanation and the availability and conflict terms, which the probe set does not test. Ranking is fast with six reviewers (86 ms) but every profile is re-embedded on every request, so 500 reviewers take 5.2 s.</w:t>
      </w:r>
    </w:p>
    <w:p>
      <w:pPr>
        <w:keepNext w:val="0"/>
        <w:spacing w:after="0" w:before="0" w:line="240" w:lineRule="auto"/>
        <w:ind w:firstLine="288"/>
        <w:jc w:val="both"/>
      </w:pPr>
      <w:r>
        <w:rPr>
          <w:rFonts w:ascii="Times New Roman" w:hAnsi="Times New Roman" w:cs="Times New Roman" w:eastAsia="Times New Roman"/>
          <w:b/>
          <w:sz w:val="20"/>
        </w:rPr>
        <w:t>Conflicts.</w:t>
      </w:r>
      <w:r>
        <w:rPr>
          <w:rFonts w:ascii="Times New Roman" w:hAnsi="Times New Roman" w:cs="Times New Roman" w:eastAsia="Times New Roman"/>
          <w:sz w:val="20"/>
        </w:rPr>
        <w:t xml:space="preserve"> All 12 literal links (conflict terms, affiliations, full names) were flagged and the penalty moved the reviewer to the bottom of the ranking; none of the 3 paraphrased links (a reworded affiliation, a first name only) was found, and there were no false flags in 240 clean pairs. Detection is string matching, not a co-authorship check.</w:t>
      </w:r>
    </w:p>
    <w:p>
      <w:pPr>
        <w:keepNext w:val="0"/>
        <w:spacing w:after="0" w:before="0" w:line="240" w:lineRule="auto"/>
        <w:ind w:firstLine="288"/>
        <w:jc w:val="both"/>
      </w:pPr>
      <w:r>
        <w:rPr>
          <w:rFonts w:ascii="Times New Roman" w:hAnsi="Times New Roman" w:cs="Times New Roman" w:eastAsia="Times New Roman"/>
          <w:b/>
          <w:sz w:val="20"/>
        </w:rPr>
        <w:t>Speed.</w:t>
      </w:r>
      <w:r>
        <w:rPr>
          <w:rFonts w:ascii="Times New Roman" w:hAnsi="Times New Roman" w:cs="Times New Roman" w:eastAsia="Times New Roman"/>
          <w:sz w:val="20"/>
        </w:rPr>
        <w:t xml:space="preserve"> The deterministic path needs 1.3 s per analysis over HTTP (median of 8); reading and ranking need well under a second apart from OpenAlex (2.3 s). With the language model on, one analysis took 534 to 946 s, of which the three-step review alone took 509 s for 1,410 generated tokens (about 3 tokens per second).</w:t>
      </w:r>
    </w:p>
    <w:p>
      <w:pPr>
        <w:keepNext w:val="0"/>
        <w:spacing w:after="0" w:before="0" w:line="240" w:lineRule="auto"/>
        <w:ind w:firstLine="288"/>
        <w:jc w:val="both"/>
      </w:pPr>
      <w:r>
        <w:rPr>
          <w:rFonts w:ascii="Times New Roman" w:hAnsi="Times New Roman" w:cs="Times New Roman" w:eastAsia="Times New Roman"/>
          <w:b/>
          <w:sz w:val="20"/>
        </w:rPr>
        <w:t>Confidence and score separation.</w:t>
      </w:r>
      <w:r>
        <w:rPr>
          <w:rFonts w:ascii="Times New Roman" w:hAnsi="Times New Roman" w:cs="Times New Roman" w:eastAsia="Times New Roman"/>
          <w:sz w:val="20"/>
        </w:rPr>
        <w:t xml:space="preserve"> The decision model's confidence is informative but weak: papers with confidence of at least 0.6 are 65% of the test set at 0.58 accuracy, at least 0.7 are 29% at 0.70, and the 11 papers above 0.8 reach 0.73; no setting approaches the accuracy a clean label would allow. For ranking, the first-ranked reviewer leads the second by 12.6 points on average over the probe set, so a Strong or Good band is usually not reached for short abstracts, and the bands should be read as relative to the pool.</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REAL PDFS THROUGH THE PIPELINE</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368"/>
          </w:tcPr>
          <w:p>
            <w:pPr>
              <w:jc w:val="center"/>
            </w:pPr>
            <w:r/>
            <w:r>
              <w:rPr>
                <w:rFonts w:ascii="Times New Roman" w:hAnsi="Times New Roman" w:cs="Times New Roman" w:eastAsia="Times New Roman"/>
                <w:b/>
                <w:sz w:val="14"/>
              </w:rPr>
              <w:t>Paper</w:t>
            </w:r>
          </w:p>
        </w:tc>
        <w:tc>
          <w:tcPr>
            <w:tcW w:type="dxa" w:w="576"/>
          </w:tcPr>
          <w:p>
            <w:pPr>
              <w:jc w:val="center"/>
            </w:pPr>
            <w:r/>
            <w:r>
              <w:rPr>
                <w:rFonts w:ascii="Times New Roman" w:hAnsi="Times New Roman" w:cs="Times New Roman" w:eastAsia="Times New Roman"/>
                <w:b/>
                <w:sz w:val="14"/>
              </w:rPr>
              <w:t>Pages</w:t>
            </w:r>
          </w:p>
        </w:tc>
        <w:tc>
          <w:tcPr>
            <w:tcW w:type="dxa" w:w="720"/>
          </w:tcPr>
          <w:p>
            <w:pPr>
              <w:jc w:val="center"/>
            </w:pPr>
            <w:r/>
            <w:r>
              <w:rPr>
                <w:rFonts w:ascii="Times New Roman" w:hAnsi="Times New Roman" w:cs="Times New Roman" w:eastAsia="Times New Roman"/>
                <w:b/>
                <w:sz w:val="14"/>
              </w:rPr>
              <w:t>Words</w:t>
            </w:r>
          </w:p>
        </w:tc>
        <w:tc>
          <w:tcPr>
            <w:tcW w:type="dxa" w:w="648"/>
          </w:tcPr>
          <w:p>
            <w:pPr>
              <w:jc w:val="center"/>
            </w:pPr>
            <w:r/>
            <w:r>
              <w:rPr>
                <w:rFonts w:ascii="Times New Roman" w:hAnsi="Times New Roman" w:cs="Times New Roman" w:eastAsia="Times New Roman"/>
                <w:b/>
                <w:sz w:val="14"/>
              </w:rPr>
              <w:t>Struct.</w:t>
            </w:r>
          </w:p>
        </w:tc>
        <w:tc>
          <w:tcPr>
            <w:tcW w:type="dxa" w:w="792"/>
          </w:tcPr>
          <w:p>
            <w:pPr>
              <w:jc w:val="center"/>
            </w:pPr>
            <w:r/>
            <w:r>
              <w:rPr>
                <w:rFonts w:ascii="Times New Roman" w:hAnsi="Times New Roman" w:cs="Times New Roman" w:eastAsia="Times New Roman"/>
                <w:b/>
                <w:sz w:val="14"/>
              </w:rPr>
              <w:t>Sections</w:t>
            </w:r>
          </w:p>
        </w:tc>
        <w:tc>
          <w:tcPr>
            <w:tcW w:type="dxa" w:w="1080"/>
          </w:tcPr>
          <w:p>
            <w:pPr>
              <w:jc w:val="center"/>
            </w:pPr>
            <w:r/>
            <w:r>
              <w:rPr>
                <w:rFonts w:ascii="Times New Roman" w:hAnsi="Times New Roman" w:cs="Times New Roman" w:eastAsia="Times New Roman"/>
                <w:b/>
                <w:sz w:val="14"/>
              </w:rPr>
              <w:t>Decision</w:t>
            </w:r>
          </w:p>
        </w:tc>
      </w:tr>
      <w:tr>
        <w:trPr>
          <w:cantSplit w:val="true"/>
        </w:trPr>
        <w:tc>
          <w:tcPr>
            <w:tcW w:type="dxa" w:w="1368"/>
          </w:tcPr>
          <w:p>
            <w:pPr>
              <w:jc w:val="left"/>
            </w:pPr>
            <w:r/>
            <w:r>
              <w:rPr>
                <w:rFonts w:ascii="Times New Roman" w:hAnsi="Times New Roman" w:cs="Times New Roman" w:eastAsia="Times New Roman"/>
                <w:sz w:val="14"/>
              </w:rPr>
              <w:t>Demo fixture</w:t>
            </w:r>
          </w:p>
        </w:tc>
        <w:tc>
          <w:tcPr>
            <w:tcW w:type="dxa" w:w="576"/>
          </w:tcPr>
          <w:p>
            <w:pPr>
              <w:jc w:val="center"/>
            </w:pPr>
            <w:r/>
            <w:r>
              <w:rPr>
                <w:rFonts w:ascii="Times New Roman" w:hAnsi="Times New Roman" w:cs="Times New Roman" w:eastAsia="Times New Roman"/>
                <w:sz w:val="14"/>
              </w:rPr>
              <w:t>3</w:t>
            </w:r>
          </w:p>
        </w:tc>
        <w:tc>
          <w:tcPr>
            <w:tcW w:type="dxa" w:w="720"/>
          </w:tcPr>
          <w:p>
            <w:pPr>
              <w:jc w:val="center"/>
            </w:pPr>
            <w:r/>
            <w:r>
              <w:rPr>
                <w:rFonts w:ascii="Times New Roman" w:hAnsi="Times New Roman" w:cs="Times New Roman" w:eastAsia="Times New Roman"/>
                <w:sz w:val="14"/>
              </w:rPr>
              <w:t>431</w:t>
            </w:r>
          </w:p>
        </w:tc>
        <w:tc>
          <w:tcPr>
            <w:tcW w:type="dxa" w:w="648"/>
          </w:tcPr>
          <w:p>
            <w:pPr>
              <w:jc w:val="center"/>
            </w:pPr>
            <w:r/>
            <w:r>
              <w:rPr>
                <w:rFonts w:ascii="Times New Roman" w:hAnsi="Times New Roman" w:cs="Times New Roman" w:eastAsia="Times New Roman"/>
                <w:sz w:val="14"/>
              </w:rPr>
              <w:t>68.1</w:t>
            </w:r>
          </w:p>
        </w:tc>
        <w:tc>
          <w:tcPr>
            <w:tcW w:type="dxa" w:w="792"/>
          </w:tcPr>
          <w:p>
            <w:pPr>
              <w:jc w:val="center"/>
            </w:pPr>
            <w:r/>
            <w:r>
              <w:rPr>
                <w:rFonts w:ascii="Times New Roman" w:hAnsi="Times New Roman" w:cs="Times New Roman" w:eastAsia="Times New Roman"/>
                <w:sz w:val="14"/>
              </w:rPr>
              <w:t>9/9</w:t>
            </w:r>
          </w:p>
        </w:tc>
        <w:tc>
          <w:tcPr>
            <w:tcW w:type="dxa" w:w="1080"/>
          </w:tcPr>
          <w:p>
            <w:pPr>
              <w:jc w:val="center"/>
            </w:pPr>
            <w:r/>
            <w:r>
              <w:rPr>
                <w:rFonts w:ascii="Times New Roman" w:hAnsi="Times New Roman" w:cs="Times New Roman" w:eastAsia="Times New Roman"/>
                <w:sz w:val="14"/>
              </w:rPr>
              <w:t>borderline 0.66</w:t>
            </w:r>
          </w:p>
        </w:tc>
      </w:tr>
      <w:tr>
        <w:trPr>
          <w:cantSplit w:val="true"/>
        </w:trPr>
        <w:tc>
          <w:tcPr>
            <w:tcW w:type="dxa" w:w="1368"/>
          </w:tcPr>
          <w:p>
            <w:pPr>
              <w:jc w:val="left"/>
            </w:pPr>
            <w:r/>
            <w:r>
              <w:rPr>
                <w:rFonts w:ascii="Times New Roman" w:hAnsi="Times New Roman" w:cs="Times New Roman" w:eastAsia="Times New Roman"/>
                <w:sz w:val="14"/>
              </w:rPr>
              <w:t>Survey [7]</w:t>
            </w:r>
          </w:p>
        </w:tc>
        <w:tc>
          <w:tcPr>
            <w:tcW w:type="dxa" w:w="576"/>
          </w:tcPr>
          <w:p>
            <w:pPr>
              <w:jc w:val="center"/>
            </w:pPr>
            <w:r/>
            <w:r>
              <w:rPr>
                <w:rFonts w:ascii="Times New Roman" w:hAnsi="Times New Roman" w:cs="Times New Roman" w:eastAsia="Times New Roman"/>
                <w:sz w:val="14"/>
              </w:rPr>
              <w:t>30</w:t>
            </w:r>
          </w:p>
        </w:tc>
        <w:tc>
          <w:tcPr>
            <w:tcW w:type="dxa" w:w="720"/>
          </w:tcPr>
          <w:p>
            <w:pPr>
              <w:jc w:val="center"/>
            </w:pPr>
            <w:r/>
            <w:r>
              <w:rPr>
                <w:rFonts w:ascii="Times New Roman" w:hAnsi="Times New Roman" w:cs="Times New Roman" w:eastAsia="Times New Roman"/>
                <w:sz w:val="14"/>
              </w:rPr>
              <w:t>19,877</w:t>
            </w:r>
          </w:p>
        </w:tc>
        <w:tc>
          <w:tcPr>
            <w:tcW w:type="dxa" w:w="648"/>
          </w:tcPr>
          <w:p>
            <w:pPr>
              <w:jc w:val="center"/>
            </w:pPr>
            <w:r/>
            <w:r>
              <w:rPr>
                <w:rFonts w:ascii="Times New Roman" w:hAnsi="Times New Roman" w:cs="Times New Roman" w:eastAsia="Times New Roman"/>
                <w:sz w:val="14"/>
              </w:rPr>
              <w:t>68.5</w:t>
            </w:r>
          </w:p>
        </w:tc>
        <w:tc>
          <w:tcPr>
            <w:tcW w:type="dxa" w:w="792"/>
          </w:tcPr>
          <w:p>
            <w:pPr>
              <w:jc w:val="center"/>
            </w:pPr>
            <w:r/>
            <w:r>
              <w:rPr>
                <w:rFonts w:ascii="Times New Roman" w:hAnsi="Times New Roman" w:cs="Times New Roman" w:eastAsia="Times New Roman"/>
                <w:sz w:val="14"/>
              </w:rPr>
              <w:t>8/9</w:t>
            </w:r>
          </w:p>
        </w:tc>
        <w:tc>
          <w:tcPr>
            <w:tcW w:type="dxa" w:w="1080"/>
          </w:tcPr>
          <w:p>
            <w:pPr>
              <w:jc w:val="center"/>
            </w:pPr>
            <w:r/>
            <w:r>
              <w:rPr>
                <w:rFonts w:ascii="Times New Roman" w:hAnsi="Times New Roman" w:cs="Times New Roman" w:eastAsia="Times New Roman"/>
                <w:sz w:val="14"/>
              </w:rPr>
              <w:t>borderline 0.55</w:t>
            </w:r>
          </w:p>
        </w:tc>
      </w:tr>
      <w:tr>
        <w:trPr>
          <w:cantSplit w:val="true"/>
        </w:trPr>
        <w:tc>
          <w:tcPr>
            <w:tcW w:type="dxa" w:w="1368"/>
          </w:tcPr>
          <w:p>
            <w:pPr>
              <w:jc w:val="left"/>
            </w:pPr>
            <w:r/>
            <w:r>
              <w:rPr>
                <w:rFonts w:ascii="Times New Roman" w:hAnsi="Times New Roman" w:cs="Times New Roman" w:eastAsia="Times New Roman"/>
                <w:sz w:val="14"/>
              </w:rPr>
              <w:t>ReViewGraph [8]</w:t>
            </w:r>
          </w:p>
        </w:tc>
        <w:tc>
          <w:tcPr>
            <w:tcW w:type="dxa" w:w="576"/>
          </w:tcPr>
          <w:p>
            <w:pPr>
              <w:jc w:val="center"/>
            </w:pPr>
            <w:r/>
            <w:r>
              <w:rPr>
                <w:rFonts w:ascii="Times New Roman" w:hAnsi="Times New Roman" w:cs="Times New Roman" w:eastAsia="Times New Roman"/>
                <w:sz w:val="14"/>
              </w:rPr>
              <w:t>17</w:t>
            </w:r>
          </w:p>
        </w:tc>
        <w:tc>
          <w:tcPr>
            <w:tcW w:type="dxa" w:w="720"/>
          </w:tcPr>
          <w:p>
            <w:pPr>
              <w:jc w:val="center"/>
            </w:pPr>
            <w:r/>
            <w:r>
              <w:rPr>
                <w:rFonts w:ascii="Times New Roman" w:hAnsi="Times New Roman" w:cs="Times New Roman" w:eastAsia="Times New Roman"/>
                <w:sz w:val="14"/>
              </w:rPr>
              <w:t>11,562</w:t>
            </w:r>
          </w:p>
        </w:tc>
        <w:tc>
          <w:tcPr>
            <w:tcW w:type="dxa" w:w="648"/>
          </w:tcPr>
          <w:p>
            <w:pPr>
              <w:jc w:val="center"/>
            </w:pPr>
            <w:r/>
            <w:r>
              <w:rPr>
                <w:rFonts w:ascii="Times New Roman" w:hAnsi="Times New Roman" w:cs="Times New Roman" w:eastAsia="Times New Roman"/>
                <w:sz w:val="14"/>
              </w:rPr>
              <w:t>65.2</w:t>
            </w:r>
          </w:p>
        </w:tc>
        <w:tc>
          <w:tcPr>
            <w:tcW w:type="dxa" w:w="792"/>
          </w:tcPr>
          <w:p>
            <w:pPr>
              <w:jc w:val="center"/>
            </w:pPr>
            <w:r/>
            <w:r>
              <w:rPr>
                <w:rFonts w:ascii="Times New Roman" w:hAnsi="Times New Roman" w:cs="Times New Roman" w:eastAsia="Times New Roman"/>
                <w:sz w:val="14"/>
              </w:rPr>
              <w:t>7/9</w:t>
            </w:r>
          </w:p>
        </w:tc>
        <w:tc>
          <w:tcPr>
            <w:tcW w:type="dxa" w:w="1080"/>
          </w:tcPr>
          <w:p>
            <w:pPr>
              <w:jc w:val="center"/>
            </w:pPr>
            <w:r/>
            <w:r>
              <w:rPr>
                <w:rFonts w:ascii="Times New Roman" w:hAnsi="Times New Roman" w:cs="Times New Roman" w:eastAsia="Times New Roman"/>
                <w:sz w:val="14"/>
              </w:rPr>
              <w:t>borderline 0.58</w:t>
            </w:r>
          </w:p>
        </w:tc>
      </w:tr>
      <w:tr>
        <w:trPr>
          <w:cantSplit w:val="true"/>
        </w:trPr>
        <w:tc>
          <w:tcPr>
            <w:tcW w:type="dxa" w:w="1368"/>
          </w:tcPr>
          <w:p>
            <w:pPr>
              <w:jc w:val="left"/>
            </w:pPr>
            <w:r/>
            <w:r>
              <w:rPr>
                <w:rFonts w:ascii="Times New Roman" w:hAnsi="Times New Roman" w:cs="Times New Roman" w:eastAsia="Times New Roman"/>
                <w:sz w:val="14"/>
              </w:rPr>
              <w:t>Base paper [1]</w:t>
            </w:r>
          </w:p>
        </w:tc>
        <w:tc>
          <w:tcPr>
            <w:tcW w:type="dxa" w:w="576"/>
          </w:tcPr>
          <w:p>
            <w:pPr>
              <w:jc w:val="center"/>
            </w:pPr>
            <w:r/>
            <w:r>
              <w:rPr>
                <w:rFonts w:ascii="Times New Roman" w:hAnsi="Times New Roman" w:cs="Times New Roman" w:eastAsia="Times New Roman"/>
                <w:sz w:val="14"/>
              </w:rPr>
              <w:t>30</w:t>
            </w:r>
          </w:p>
        </w:tc>
        <w:tc>
          <w:tcPr>
            <w:tcW w:type="dxa" w:w="720"/>
          </w:tcPr>
          <w:p>
            <w:pPr>
              <w:jc w:val="center"/>
            </w:pPr>
            <w:r/>
            <w:r>
              <w:rPr>
                <w:rFonts w:ascii="Times New Roman" w:hAnsi="Times New Roman" w:cs="Times New Roman" w:eastAsia="Times New Roman"/>
                <w:sz w:val="14"/>
              </w:rPr>
              <w:t>21,708</w:t>
            </w:r>
          </w:p>
        </w:tc>
        <w:tc>
          <w:tcPr>
            <w:tcW w:type="dxa" w:w="648"/>
          </w:tcPr>
          <w:p>
            <w:pPr>
              <w:jc w:val="center"/>
            </w:pPr>
            <w:r/>
            <w:r>
              <w:rPr>
                <w:rFonts w:ascii="Times New Roman" w:hAnsi="Times New Roman" w:cs="Times New Roman" w:eastAsia="Times New Roman"/>
                <w:sz w:val="14"/>
              </w:rPr>
              <w:t>75.9</w:t>
            </w:r>
          </w:p>
        </w:tc>
        <w:tc>
          <w:tcPr>
            <w:tcW w:type="dxa" w:w="792"/>
          </w:tcPr>
          <w:p>
            <w:pPr>
              <w:jc w:val="center"/>
            </w:pPr>
            <w:r/>
            <w:r>
              <w:rPr>
                <w:rFonts w:ascii="Times New Roman" w:hAnsi="Times New Roman" w:cs="Times New Roman" w:eastAsia="Times New Roman"/>
                <w:sz w:val="14"/>
              </w:rPr>
              <w:t>6/9</w:t>
            </w:r>
          </w:p>
        </w:tc>
        <w:tc>
          <w:tcPr>
            <w:tcW w:type="dxa" w:w="1080"/>
          </w:tcPr>
          <w:p>
            <w:pPr>
              <w:jc w:val="center"/>
            </w:pPr>
            <w:r/>
            <w:r>
              <w:rPr>
                <w:rFonts w:ascii="Times New Roman" w:hAnsi="Times New Roman" w:cs="Times New Roman" w:eastAsia="Times New Roman"/>
                <w:sz w:val="14"/>
              </w:rPr>
              <w:t>borderline 0.55</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Real papers.</w:t>
      </w:r>
      <w:r>
        <w:rPr>
          <w:rFonts w:ascii="Times New Roman" w:hAnsi="Times New Roman" w:cs="Times New Roman" w:eastAsia="Times New Roman"/>
          <w:sz w:val="20"/>
        </w:rPr>
        <w:t xml:space="preserve"> Table III shows that the extraction and signals behave sensibly on a three-page fixture and on three real 17- to 30-page papers: 6 to 9 of the 9 expected sections are found and the structural score stays between 65 and 76. The score is a heuristic with unvalidated weights and cannot rank papers by quality; it mainly flags missing sections, short methodology text and sparse references. The fixture is a generated document, not a real submission.</w:t>
      </w:r>
    </w:p>
    <w:p>
      <w:pPr>
        <w:keepNext/>
        <w:spacing w:before="80"/>
        <w:jc w:val="center"/>
      </w:pPr>
      <w:r>
        <w:drawing>
          <wp:inline xmlns:a="http://schemas.openxmlformats.org/drawingml/2006/main" xmlns:pic="http://schemas.openxmlformats.org/drawingml/2006/picture">
            <wp:extent cx="3108960" cy="1541194"/>
            <wp:docPr id="5" name="Picture 5"/>
            <wp:cNvGraphicFramePr>
              <a:graphicFrameLocks noChangeAspect="1"/>
            </wp:cNvGraphicFramePr>
            <a:graphic>
              <a:graphicData uri="http://schemas.openxmlformats.org/drawingml/2006/picture">
                <pic:pic>
                  <pic:nvPicPr>
                    <pic:cNvPr id="0" name="paper_screen_assessment.png"/>
                    <pic:cNvPicPr/>
                  </pic:nvPicPr>
                  <pic:blipFill>
                    <a:blip r:embed="rId13"/>
                    <a:stretch>
                      <a:fillRect/>
                    </a:stretch>
                  </pic:blipFill>
                  <pic:spPr>
                    <a:xfrm>
                      <a:off x="0" y="0"/>
                      <a:ext cx="3108960" cy="1541194"/>
                    </a:xfrm>
                    <a:prstGeom prst="rect"/>
                  </pic:spPr>
                </pic:pic>
              </a:graphicData>
            </a:graphic>
          </wp:inline>
        </w:drawing>
      </w:r>
    </w:p>
    <w:p>
      <w:pPr>
        <w:spacing w:after="100"/>
        <w:jc w:val="both"/>
      </w:pPr>
      <w:r>
        <w:rPr>
          <w:rFonts w:ascii="Times New Roman" w:hAnsi="Times New Roman" w:cs="Times New Roman" w:eastAsia="Times New Roman"/>
          <w:sz w:val="16"/>
        </w:rPr>
        <w:t>Fig. 5. Output screen: analysis of a real 17-page paper, showing the structural score, concerns, top reviewer, decision signal and the language-model status.</w:t>
      </w:r>
    </w:p>
    <w:p>
      <w:pPr>
        <w:keepNext/>
        <w:spacing w:before="80"/>
        <w:jc w:val="center"/>
      </w:pPr>
      <w:r>
        <w:drawing>
          <wp:inline xmlns:a="http://schemas.openxmlformats.org/drawingml/2006/main" xmlns:pic="http://schemas.openxmlformats.org/drawingml/2006/picture">
            <wp:extent cx="3108960" cy="2135720"/>
            <wp:docPr id="6" name="Picture 6"/>
            <wp:cNvGraphicFramePr>
              <a:graphicFrameLocks noChangeAspect="1"/>
            </wp:cNvGraphicFramePr>
            <a:graphic>
              <a:graphicData uri="http://schemas.openxmlformats.org/drawingml/2006/picture">
                <pic:pic>
                  <pic:nvPicPr>
                    <pic:cNvPr id="0" name="paper_screen_reviewers.png"/>
                    <pic:cNvPicPr/>
                  </pic:nvPicPr>
                  <pic:blipFill>
                    <a:blip r:embed="rId14"/>
                    <a:stretch>
                      <a:fillRect/>
                    </a:stretch>
                  </pic:blipFill>
                  <pic:spPr>
                    <a:xfrm>
                      <a:off x="0" y="0"/>
                      <a:ext cx="3108960" cy="2135720"/>
                    </a:xfrm>
                    <a:prstGeom prst="rect"/>
                  </pic:spPr>
                </pic:pic>
              </a:graphicData>
            </a:graphic>
          </wp:inline>
        </w:drawing>
      </w:r>
    </w:p>
    <w:p>
      <w:pPr>
        <w:spacing w:after="100"/>
        <w:jc w:val="both"/>
      </w:pPr>
      <w:r>
        <w:rPr>
          <w:rFonts w:ascii="Times New Roman" w:hAnsi="Times New Roman" w:cs="Times New Roman" w:eastAsia="Times New Roman"/>
          <w:sz w:val="16"/>
        </w:rPr>
        <w:t>Fig. 6. Output screen: top-ranked reviewer with the auditable score breakdown (expertise similarity 0.260, method overlap 0.275, availability 1.0).</w:t>
      </w:r>
    </w:p>
    <w:p>
      <w:pPr>
        <w:keepNext w:val="0"/>
        <w:spacing w:after="0" w:before="0" w:line="240" w:lineRule="auto"/>
        <w:ind w:firstLine="288"/>
        <w:jc w:val="both"/>
      </w:pPr>
      <w:r>
        <w:rPr>
          <w:rFonts w:ascii="Times New Roman" w:hAnsi="Times New Roman" w:cs="Times New Roman" w:eastAsia="Times New Roman"/>
          <w:b/>
          <w:sz w:val="20"/>
        </w:rPr>
        <w:t>Failure cases.</w:t>
      </w:r>
      <w:r>
        <w:rPr>
          <w:rFonts w:ascii="Times New Roman" w:hAnsi="Times New Roman" w:cs="Times New Roman" w:eastAsia="Times New Roman"/>
          <w:sz w:val="20"/>
        </w:rPr>
        <w:t xml:space="preserve"> (1) For the 17-page paper in Fig. 5 and 6 the best reviewer scored only 28.4 of 100 and two reviewers tied; the NLP reviewer ranked fourth, because the demo pool has no reviewer on language-model reviewing. Ranks also skip a number when an inactive reviewer is filtered out afterwards. (2) The two misses on the probe set were a malware-evasion abstract assigned to the applied-statistics reviewer instead of the security reviewer and a cross-area log-analysis abstract. (3) For the base paper's PDF the introduction was not detected, because the heading is a roman numeral, and the title heuristic returned the DOI line. (4) The title of the survey PDF contains a question mark, which made OpenAlex answer HTTP 400, so related work was reported unavailable. (5) The language-model text for the 17-page paper misdescribes its datasets, which is why it is shown as generated text that can contain errors. (6) The coverage chart's novelty value is a fixed 55; novelty is not measured.</w:t>
      </w:r>
    </w:p>
    <w:p>
      <w:pPr>
        <w:keepNext w:val="0"/>
        <w:spacing w:after="0" w:before="0" w:line="240" w:lineRule="auto"/>
        <w:ind w:firstLine="288"/>
        <w:jc w:val="both"/>
      </w:pPr>
      <w:r>
        <w:rPr>
          <w:rFonts w:ascii="Times New Roman" w:hAnsi="Times New Roman" w:cs="Times New Roman" w:eastAsia="Times New Roman"/>
          <w:b/>
          <w:sz w:val="20"/>
        </w:rPr>
        <w:t>Per-area results and uncertainty.</w:t>
      </w:r>
      <w:r>
        <w:rPr>
          <w:rFonts w:ascii="Times New Roman" w:hAnsi="Times New Roman" w:cs="Times New Roman" w:eastAsia="Times New Roman"/>
          <w:sz w:val="20"/>
        </w:rPr>
        <w:t xml:space="preserve"> The probe set has six abstracts for each of six areas plus four cross-area abstracts with two acceptable reviewers. With sentence embeddings the hybrid score is right for all six abstracts in five areas and five of six in security, and for 3 of 4 cross-area abstracts; the fallback embedder drops to 3 of 6 in vision and 3 of 6 in security. With 40 probes the 95 % binomial interval around 95% is about +/-7 points, so the difference between the hybrid and the semantic-only score (one abstract) is within noise, while the gap to lexical-only is not.</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reviewer profiles and the probe abstracts were written by the same team, which favours embedding similarity; the six profiles are far apart in topic, so the task is easier than a real pool of hundreds of overlapping researchers; the decision model was trained and tested on data of one synthetic kind; the language-model text was not rated by human reviewers; no user study was run; and every timing comes from one CPU-only machine. These limits are why the numbers above are read as evidence that the pipeline works, not as a benchmark.</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comparison is context only. The base paper reports MRR@3 up to 0.78 on 663 real conference papers and 524 reviewers with historical assignments as labels, whereas PeerScope reports MRR 0.96 on 40 team-written abstracts and six demo reviewers, and adds paper assessment, availability and conflict terms that the base paper did not benchmark. Data, task size, labels and metric (rank of the first acceptable reviewer, not MRR@3 over three) differ, so no claim of superiority is made.</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PeerScope delivers a working local pipeline that turns a PDF into an assessment and an auditable reviewer ranking. Against the six objectives: corpus building is partial (stored analyses and a six-profile reviewer directory, no real publication corpus); topic, method and keyword extraction and embedding-based reviewer vectors are done with simple lexicons and profile text; ranking is done and measured; the preliminary assessment is done except for novelty; and evaluation against expert judgement is only partial, using the team's own labels. The key finding is that the explicit hybrid score ranks well on the probe set (95% top-1) but a plain embedding does as well, and that the decision model's 0.55 accuracy reflects the synthetic labels, not real peer-review decisions. Other limits are the six demo reviewers, literal-match conflict detection, minutes-long CPU generation, an unvalidated structural weighting and the defects listed above.</w:t>
      </w:r>
    </w:p>
    <w:p>
      <w:pPr>
        <w:keepNext w:val="0"/>
        <w:spacing w:after="0" w:before="0" w:line="240" w:lineRule="auto"/>
        <w:ind w:firstLine="288"/>
        <w:jc w:val="both"/>
      </w:pPr>
      <w:r>
        <w:rPr>
          <w:rFonts w:ascii="Times New Roman" w:hAnsi="Times New Roman" w:cs="Times New Roman" w:eastAsia="Times New Roman"/>
          <w:sz w:val="20"/>
        </w:rPr>
        <w:t>Future work: evaluate ranking on real conference assignments with independent expert labels; train the decision model on real review data such as PeerRead [9]; build reviewer profiles from publication records; add a co-authorship conflict check and a capacity-aware assignment optimiser; cache reviewer embeddings; sanitise the literature query and recognise roman-numeral headings; and defend the language-model step against hidden instructions in the PDF.</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F. Bagheri, D. Buscaldi and D. Reforgiato Recupero, "LLM-assisted reviewer assignment via auditable expertise matching,"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127834-127863, 2026, doi: 10.1109/ACCESS.2026.3724622.</w:t>
      </w:r>
    </w:p>
    <w:p>
      <w:pPr>
        <w:spacing w:after="20"/>
        <w:ind w:left="432" w:hanging="432"/>
        <w:jc w:val="both"/>
      </w:pPr>
      <w:r>
        <w:rPr>
          <w:rFonts w:ascii="Times New Roman" w:hAnsi="Times New Roman" w:cs="Times New Roman" w:eastAsia="Times New Roman"/>
          <w:sz w:val="16"/>
        </w:rPr>
        <w:t>[2]  A. Beygelzimer, Y. N. Dauphin, P. Liang and J. W. Vaughan, "Has the machine learning review process become more arbitrary as the field has grown? The NeurIPS 2021 consistency experiment," arXiv:2306.03262, Jun. 2023.</w:t>
      </w:r>
    </w:p>
    <w:p>
      <w:pPr>
        <w:spacing w:after="20"/>
        <w:ind w:left="432" w:hanging="432"/>
        <w:jc w:val="both"/>
      </w:pPr>
      <w:r>
        <w:rPr>
          <w:rFonts w:ascii="Times New Roman" w:hAnsi="Times New Roman" w:cs="Times New Roman" w:eastAsia="Times New Roman"/>
          <w:sz w:val="16"/>
        </w:rPr>
        <w:t xml:space="preserve">[3]  X. Zhao and Y. Zhang, "Reviewer assignment algorithms for peer review automation: a survey," </w:t>
      </w:r>
      <w:r>
        <w:rPr>
          <w:rFonts w:ascii="Times New Roman" w:hAnsi="Times New Roman" w:cs="Times New Roman" w:eastAsia="Times New Roman"/>
          <w:i/>
          <w:sz w:val="16"/>
        </w:rPr>
        <w:t>Inf. Process. Manage.</w:t>
      </w:r>
      <w:r>
        <w:rPr>
          <w:rFonts w:ascii="Times New Roman" w:hAnsi="Times New Roman" w:cs="Times New Roman" w:eastAsia="Times New Roman"/>
          <w:sz w:val="16"/>
        </w:rPr>
        <w:t>, vol. 59, no. 5, Art. no. 103028, Sep. 2022, doi: 10.1016/j.ipm.2022.103028.</w:t>
      </w:r>
    </w:p>
    <w:p>
      <w:pPr>
        <w:spacing w:after="20"/>
        <w:ind w:left="432" w:hanging="432"/>
        <w:jc w:val="both"/>
      </w:pPr>
      <w:r>
        <w:rPr>
          <w:rFonts w:ascii="Times New Roman" w:hAnsi="Times New Roman" w:cs="Times New Roman" w:eastAsia="Times New Roman"/>
          <w:sz w:val="16"/>
        </w:rPr>
        <w:t>[4]  L. Charlin, R. S. Zemel and C. Boutilier, "A framework for optimizing paper matching," arXiv:1202.3706, Feb. 2012.</w:t>
      </w:r>
    </w:p>
    <w:p>
      <w:pPr>
        <w:spacing w:after="20"/>
        <w:ind w:left="432" w:hanging="432"/>
        <w:jc w:val="both"/>
      </w:pPr>
      <w:r>
        <w:rPr>
          <w:rFonts w:ascii="Times New Roman" w:hAnsi="Times New Roman" w:cs="Times New Roman" w:eastAsia="Times New Roman"/>
          <w:sz w:val="16"/>
        </w:rPr>
        <w:t xml:space="preserve">[5]  D. Mimno and A. McCallum, "Expertise modeling for matching papers with reviewers," in </w:t>
      </w:r>
      <w:r>
        <w:rPr>
          <w:rFonts w:ascii="Times New Roman" w:hAnsi="Times New Roman" w:cs="Times New Roman" w:eastAsia="Times New Roman"/>
          <w:i/>
          <w:sz w:val="16"/>
        </w:rPr>
        <w:t>Proc. 13th ACM SIGKDD Int. Conf. Knowl. Discovery Data Mining</w:t>
      </w:r>
      <w:r>
        <w:rPr>
          <w:rFonts w:ascii="Times New Roman" w:hAnsi="Times New Roman" w:cs="Times New Roman" w:eastAsia="Times New Roman"/>
          <w:sz w:val="16"/>
        </w:rPr>
        <w:t>, 2007, pp. 500-509, doi: 10.1145/1281192.1281247.</w:t>
      </w:r>
    </w:p>
    <w:p>
      <w:pPr>
        <w:spacing w:after="20"/>
        <w:ind w:left="432" w:hanging="432"/>
        <w:jc w:val="both"/>
      </w:pPr>
      <w:r>
        <w:rPr>
          <w:rFonts w:ascii="Times New Roman" w:hAnsi="Times New Roman" w:cs="Times New Roman" w:eastAsia="Times New Roman"/>
          <w:sz w:val="16"/>
        </w:rPr>
        <w:t xml:space="preserve">[6]  Y. Zhang, Y. Shen, S. Kang, X. Chen, B. Jin and J. Han, "Chain-of-factors paper-reviewer matching," in </w:t>
      </w:r>
      <w:r>
        <w:rPr>
          <w:rFonts w:ascii="Times New Roman" w:hAnsi="Times New Roman" w:cs="Times New Roman" w:eastAsia="Times New Roman"/>
          <w:i/>
          <w:sz w:val="16"/>
        </w:rPr>
        <w:t>Proc. ACM Web Conf. 2025</w:t>
      </w:r>
      <w:r>
        <w:rPr>
          <w:rFonts w:ascii="Times New Roman" w:hAnsi="Times New Roman" w:cs="Times New Roman" w:eastAsia="Times New Roman"/>
          <w:sz w:val="16"/>
        </w:rPr>
        <w:t>, Apr. 2025, pp. 1901-1910, doi: 10.1145/3696410.3714708.</w:t>
      </w:r>
    </w:p>
    <w:p>
      <w:pPr>
        <w:spacing w:after="20"/>
        <w:ind w:left="432" w:hanging="432"/>
        <w:jc w:val="both"/>
      </w:pPr>
      <w:r>
        <w:rPr>
          <w:rFonts w:ascii="Times New Roman" w:hAnsi="Times New Roman" w:cs="Times New Roman" w:eastAsia="Times New Roman"/>
          <w:sz w:val="16"/>
        </w:rPr>
        <w:t>[7]  S. Wu, O. Jiang, Y. Zhao, T. Hu, Y. Ma, K. Zhang, M. Patwardhan and A. Cohan, "Can AI be a good peer reviewer? A survey of peer review process, evaluation, and the future," arXiv:2604.27924, Apr. 2026.</w:t>
      </w:r>
    </w:p>
    <w:p>
      <w:pPr>
        <w:spacing w:after="20"/>
        <w:ind w:left="432" w:hanging="432"/>
        <w:jc w:val="both"/>
      </w:pPr>
      <w:r>
        <w:rPr>
          <w:rFonts w:ascii="Times New Roman" w:hAnsi="Times New Roman" w:cs="Times New Roman" w:eastAsia="Times New Roman"/>
          <w:sz w:val="16"/>
        </w:rPr>
        <w:t>[8]  S. Li, L. Fan, Y. Lin, Z. Li, X. Wei, S. Ni, H. Alinejad-Rokny and M. Yang, "Automatic paper reviewing with heterogeneous graph reasoning over LLM-simulated reviewer-author debates," arXiv:2511.08317, Nov. 2025 (AAAI 2026 copyright notice on the PDF).</w:t>
      </w:r>
    </w:p>
    <w:p>
      <w:pPr>
        <w:spacing w:after="20"/>
        <w:ind w:left="432" w:hanging="432"/>
        <w:jc w:val="both"/>
      </w:pPr>
      <w:r>
        <w:rPr>
          <w:rFonts w:ascii="Times New Roman" w:hAnsi="Times New Roman" w:cs="Times New Roman" w:eastAsia="Times New Roman"/>
          <w:sz w:val="16"/>
        </w:rPr>
        <w:t xml:space="preserve">[9]  D. Kang, W. Ammar, B. Dalvi, M. van Zuylen, S. Kohlmeier, E. Hovy and R. Schwartz, "A dataset of peer reviews (PeerRead): collection, insights and NLP applications," in </w:t>
      </w:r>
      <w:r>
        <w:rPr>
          <w:rFonts w:ascii="Times New Roman" w:hAnsi="Times New Roman" w:cs="Times New Roman" w:eastAsia="Times New Roman"/>
          <w:i/>
          <w:sz w:val="16"/>
        </w:rPr>
        <w:t>Proc. NAACL-HLT</w:t>
      </w:r>
      <w:r>
        <w:rPr>
          <w:rFonts w:ascii="Times New Roman" w:hAnsi="Times New Roman" w:cs="Times New Roman" w:eastAsia="Times New Roman"/>
          <w:sz w:val="16"/>
        </w:rPr>
        <w:t>, 2018, pp. 1647-1661, doi: 10.18653/v1/N18-1149.</w:t>
      </w:r>
    </w:p>
    <w:p>
      <w:pPr>
        <w:spacing w:after="20"/>
        <w:ind w:left="432" w:hanging="432"/>
        <w:jc w:val="both"/>
      </w:pPr>
      <w:r>
        <w:rPr>
          <w:rFonts w:ascii="Times New Roman" w:hAnsi="Times New Roman" w:cs="Times New Roman" w:eastAsia="Times New Roman"/>
          <w:sz w:val="16"/>
        </w:rPr>
        <w:t xml:space="preserve">[10]  W. Yuan, P. Liu and G. Neubig, "Can we automate scientific reviewing?," </w:t>
      </w:r>
      <w:r>
        <w:rPr>
          <w:rFonts w:ascii="Times New Roman" w:hAnsi="Times New Roman" w:cs="Times New Roman" w:eastAsia="Times New Roman"/>
          <w:i/>
          <w:sz w:val="16"/>
        </w:rPr>
        <w:t>J. Artif. Intell. Res.</w:t>
      </w:r>
      <w:r>
        <w:rPr>
          <w:rFonts w:ascii="Times New Roman" w:hAnsi="Times New Roman" w:cs="Times New Roman" w:eastAsia="Times New Roman"/>
          <w:sz w:val="16"/>
        </w:rPr>
        <w:t>, vol. 75, pp. 171-212, 2022, doi: 10.1613/jair.1.12862.</w:t>
      </w:r>
    </w:p>
    <w:p>
      <w:pPr>
        <w:spacing w:after="20"/>
        <w:ind w:left="432" w:hanging="432"/>
        <w:jc w:val="both"/>
      </w:pPr>
      <w:r>
        <w:rPr>
          <w:rFonts w:ascii="Times New Roman" w:hAnsi="Times New Roman" w:cs="Times New Roman" w:eastAsia="Times New Roman"/>
          <w:sz w:val="16"/>
        </w:rPr>
        <w:t xml:space="preserve">[11]  W. Liang et al., "Can large language models provide useful feedback on research papers? A large-scale empirical analysis," </w:t>
      </w:r>
      <w:r>
        <w:rPr>
          <w:rFonts w:ascii="Times New Roman" w:hAnsi="Times New Roman" w:cs="Times New Roman" w:eastAsia="Times New Roman"/>
          <w:i/>
          <w:sz w:val="16"/>
        </w:rPr>
        <w:t>NEJM AI</w:t>
      </w:r>
      <w:r>
        <w:rPr>
          <w:rFonts w:ascii="Times New Roman" w:hAnsi="Times New Roman" w:cs="Times New Roman" w:eastAsia="Times New Roman"/>
          <w:sz w:val="16"/>
        </w:rPr>
        <w:t>, vol. 1, no. 8, Jul. 2024, doi: 10.1056/AIoa2400196.</w:t>
      </w:r>
    </w:p>
    <w:p>
      <w:pPr>
        <w:spacing w:after="20"/>
        <w:ind w:left="432" w:hanging="432"/>
        <w:jc w:val="both"/>
      </w:pPr>
      <w:r>
        <w:rPr>
          <w:rFonts w:ascii="Times New Roman" w:hAnsi="Times New Roman" w:cs="Times New Roman" w:eastAsia="Times New Roman"/>
          <w:sz w:val="16"/>
        </w:rPr>
        <w:t xml:space="preserve">[12]  F. Torrielli, S. Locci, A. Rapp and L. Di Caro, "How to get your paper accepted by an AI reviewer: indirect prompt injection in peer review," Research Square preprint, Jan. 2026, doi: 10.21203/rs.3.rs-8432945/v1. (Published as "Exploiting large language models in peer review: indirect prompt injection attacks and integrity probes," </w:t>
      </w:r>
      <w:r>
        <w:rPr>
          <w:rFonts w:ascii="Times New Roman" w:hAnsi="Times New Roman" w:cs="Times New Roman" w:eastAsia="Times New Roman"/>
          <w:i/>
          <w:sz w:val="16"/>
        </w:rPr>
        <w:t>Scientometrics</w:t>
      </w:r>
      <w:r>
        <w:rPr>
          <w:rFonts w:ascii="Times New Roman" w:hAnsi="Times New Roman" w:cs="Times New Roman" w:eastAsia="Times New Roman"/>
          <w:sz w:val="16"/>
        </w:rPr>
        <w:t>, vol. 131, no. 7, pp. 4889-4951, 2026, doi: 10.1007/s11192-026-05695-x.)</w:t>
      </w:r>
    </w:p>
    <w:p>
      <w:pPr>
        <w:spacing w:after="20"/>
        <w:ind w:left="432" w:hanging="432"/>
        <w:jc w:val="both"/>
      </w:pPr>
      <w:r>
        <w:rPr>
          <w:rFonts w:ascii="Times New Roman" w:hAnsi="Times New Roman" w:cs="Times New Roman" w:eastAsia="Times New Roman"/>
          <w:sz w:val="16"/>
        </w:rPr>
        <w:t>[13]  J. Keuper, "Prompt injection attacks on LLM generated reviews of scientific publications," arXiv:2509.10248, Sep. 2025.</w:t>
      </w:r>
    </w:p>
    <w:p>
      <w:pPr>
        <w:spacing w:after="20"/>
        <w:ind w:left="432" w:hanging="432"/>
        <w:jc w:val="both"/>
      </w:pPr>
      <w:r>
        <w:rPr>
          <w:rFonts w:ascii="Times New Roman" w:hAnsi="Times New Roman" w:cs="Times New Roman" w:eastAsia="Times New Roman"/>
          <w:sz w:val="16"/>
        </w:rPr>
        <w:t xml:space="preserve">[14]  F. Pedregosa et al.,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2011 (arXiv:1201.0490).</w:t>
      </w:r>
    </w:p>
    <w:p>
      <w:pPr>
        <w:spacing w:after="20"/>
        <w:ind w:left="432" w:hanging="432"/>
        <w:jc w:val="both"/>
      </w:pPr>
      <w:r>
        <w:rPr>
          <w:rFonts w:ascii="Times New Roman" w:hAnsi="Times New Roman" w:cs="Times New Roman" w:eastAsia="Times New Roman"/>
          <w:sz w:val="16"/>
        </w:rPr>
        <w:t>[15]  W. Wang, F. Wei, L. Dong, H. Bao, N. Yang and M. Zhou, "MiniLM: deep self-attention distillation for task-agnostic compression of pre-trained transformers," arXiv:2002.10957, Feb. 2020.</w:t>
      </w:r>
    </w:p>
    <w:p>
      <w:pPr>
        <w:spacing w:after="20"/>
        <w:ind w:left="432" w:hanging="432"/>
        <w:jc w:val="both"/>
      </w:pPr>
      <w:r>
        <w:rPr>
          <w:rFonts w:ascii="Times New Roman" w:hAnsi="Times New Roman" w:cs="Times New Roman" w:eastAsia="Times New Roman"/>
          <w:sz w:val="16"/>
        </w:rPr>
        <w:t>[16]  A. Yang et al. (Qwen Team), "Qwen2.5 technical report," arXiv:2412.15115, Dec. 2024.</w:t>
      </w:r>
    </w:p>
    <w:p>
      <w:pPr>
        <w:spacing w:after="20"/>
        <w:ind w:left="432" w:hanging="432"/>
        <w:jc w:val="both"/>
      </w:pPr>
      <w:r>
        <w:rPr>
          <w:rFonts w:ascii="Times New Roman" w:hAnsi="Times New Roman" w:cs="Times New Roman" w:eastAsia="Times New Roman"/>
          <w:sz w:val="16"/>
        </w:rPr>
        <w:t>[17]  J. Priem, H. Piwowar and R. Orr, "OpenAlex: a fully-open index of scholarly works, authors, venues, institutions, and concepts," arXiv:2205.01833, 2022.</w:t>
      </w:r>
    </w:p>
    <w:p>
      <w:pPr>
        <w:spacing w:after="20"/>
        <w:ind w:left="432" w:hanging="432"/>
        <w:jc w:val="both"/>
      </w:pPr>
      <w:r>
        <w:rPr>
          <w:rFonts w:ascii="Times New Roman" w:hAnsi="Times New Roman" w:cs="Times New Roman" w:eastAsia="Times New Roman"/>
          <w:sz w:val="16"/>
        </w:rPr>
        <w:t>[18]  S. Jecmen, H. Zhang, R. Liu, N. B. Shah, V. Conitzer and F. Fang, "Mitigating manipulation in peer review via randomized reviewer assignments," arXiv:2006.16437, Jun. 2020.</w:t>
      </w:r>
    </w:p>
    <w:p>
      <w:pPr>
        <w:spacing w:after="20"/>
        <w:ind w:left="432" w:hanging="432"/>
        <w:jc w:val="both"/>
      </w:pPr>
      <w:r>
        <w:rPr>
          <w:rFonts w:ascii="Times New Roman" w:hAnsi="Times New Roman" w:cs="Times New Roman" w:eastAsia="Times New Roman"/>
          <w:sz w:val="16"/>
        </w:rPr>
        <w:t xml:space="preserve">[19]  N. Reimers and I. Gurevych, "Sentence-BERT: sentence embeddings using Siamese BERT-networks," in </w:t>
      </w:r>
      <w:r>
        <w:rPr>
          <w:rFonts w:ascii="Times New Roman" w:hAnsi="Times New Roman" w:cs="Times New Roman" w:eastAsia="Times New Roman"/>
          <w:i/>
          <w:sz w:val="16"/>
        </w:rPr>
        <w:t>Proc. EMNLP-IJCNLP</w:t>
      </w:r>
      <w:r>
        <w:rPr>
          <w:rFonts w:ascii="Times New Roman" w:hAnsi="Times New Roman" w:cs="Times New Roman" w:eastAsia="Times New Roman"/>
          <w:sz w:val="16"/>
        </w:rPr>
        <w:t>, 2019, pp. 3980-3990, doi: 10.18653/v1/D19-1410.</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