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47E5" w:rsidRDefault="000B47E5">
      <w:pPr>
        <w:spacing w:after="480" w:line="240" w:lineRule="auto"/>
      </w:pPr>
      <w:bookmarkStart w:id="0" w:name="_GoBack"/>
      <w:bookmarkEnd w:id="0"/>
    </w:p>
    <w:p w:rsidR="000B47E5" w:rsidRDefault="00A26E14">
      <w:pPr>
        <w:spacing w:after="40"/>
        <w:jc w:val="center"/>
      </w:pPr>
      <w:r>
        <w:rPr>
          <w:rFonts w:cs="Times New Roman"/>
          <w:b/>
          <w:sz w:val="36"/>
        </w:rPr>
        <w:t>MULTI-DISEASE PREDICTION USING MACHINE LEARNING</w:t>
      </w:r>
    </w:p>
    <w:p w:rsidR="000B47E5" w:rsidRDefault="00A26E14">
      <w:pPr>
        <w:spacing w:after="120"/>
        <w:jc w:val="center"/>
      </w:pPr>
      <w:r>
        <w:rPr>
          <w:rFonts w:cs="Times New Roman"/>
          <w:b/>
          <w:sz w:val="26"/>
        </w:rPr>
        <w:t>(An Intelligent Health Assistant for Diabetes, Heart, Liver and Kidney Risk)</w:t>
      </w:r>
    </w:p>
    <w:p w:rsidR="000B47E5" w:rsidRDefault="00A26E14">
      <w:pPr>
        <w:spacing w:after="280"/>
        <w:jc w:val="center"/>
      </w:pPr>
      <w:r>
        <w:rPr>
          <w:rFonts w:cs="Times New Roman"/>
          <w:b/>
          <w:sz w:val="28"/>
        </w:rPr>
        <w:t>Conclusion, Future Scope and References</w:t>
      </w:r>
    </w:p>
    <w:p w:rsidR="000B47E5" w:rsidRDefault="00A26E14">
      <w:pPr>
        <w:spacing w:after="40"/>
        <w:jc w:val="center"/>
      </w:pPr>
      <w:r>
        <w:rPr>
          <w:rFonts w:cs="Times New Roman"/>
        </w:rPr>
        <w:t>Department of Computer Science and Engineering, TKR College of Engineering and Technology</w:t>
      </w:r>
      <w:r>
        <w:rPr>
          <w:rFonts w:cs="Times New Roman"/>
        </w:rPr>
        <w:t xml:space="preserve"> (Autonomous)</w:t>
      </w:r>
    </w:p>
    <w:p w:rsidR="000B47E5" w:rsidRDefault="00A26E14">
      <w:pPr>
        <w:spacing w:after="240"/>
        <w:jc w:val="center"/>
      </w:pPr>
      <w:r>
        <w:rPr>
          <w:rFonts w:cs="Times New Roman"/>
        </w:rPr>
        <w:t>Batch A3 (CSE-A)  ·  Academic year [ACADEMIC YEAR]</w:t>
      </w:r>
    </w:p>
    <w:p w:rsidR="000B47E5" w:rsidRDefault="00A26E14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0B47E5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0B47E5">
        <w:trPr>
          <w:cantSplit/>
          <w:jc w:val="center"/>
        </w:trPr>
        <w:tc>
          <w:tcPr>
            <w:tcW w:w="1008" w:type="dxa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0B47E5" w:rsidRDefault="00A26E14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AJMEERA HARINI</w:t>
            </w:r>
          </w:p>
        </w:tc>
        <w:tc>
          <w:tcPr>
            <w:tcW w:w="2592" w:type="dxa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23K91A0507</w:t>
            </w:r>
          </w:p>
        </w:tc>
      </w:tr>
      <w:tr w:rsidR="000B47E5">
        <w:trPr>
          <w:cantSplit/>
          <w:jc w:val="center"/>
        </w:trPr>
        <w:tc>
          <w:tcPr>
            <w:tcW w:w="1008" w:type="dxa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0B47E5" w:rsidRDefault="00A26E14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BANDI LIKITHA</w:t>
            </w:r>
          </w:p>
        </w:tc>
        <w:tc>
          <w:tcPr>
            <w:tcW w:w="2592" w:type="dxa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23K91A0526</w:t>
            </w:r>
          </w:p>
        </w:tc>
      </w:tr>
      <w:tr w:rsidR="000B47E5">
        <w:trPr>
          <w:cantSplit/>
          <w:jc w:val="center"/>
        </w:trPr>
        <w:tc>
          <w:tcPr>
            <w:tcW w:w="1008" w:type="dxa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0B47E5" w:rsidRDefault="00A26E14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CHINTHAKINDI SWATHI</w:t>
            </w:r>
          </w:p>
        </w:tc>
        <w:tc>
          <w:tcPr>
            <w:tcW w:w="2592" w:type="dxa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23K91A0555</w:t>
            </w:r>
          </w:p>
        </w:tc>
      </w:tr>
      <w:tr w:rsidR="000B47E5">
        <w:trPr>
          <w:cantSplit/>
          <w:jc w:val="center"/>
        </w:trPr>
        <w:tc>
          <w:tcPr>
            <w:tcW w:w="1008" w:type="dxa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0B47E5" w:rsidRDefault="00A26E14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BADROJU SRI HANSIKA</w:t>
            </w:r>
          </w:p>
        </w:tc>
        <w:tc>
          <w:tcPr>
            <w:tcW w:w="2592" w:type="dxa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23K91A0524</w:t>
            </w:r>
          </w:p>
        </w:tc>
      </w:tr>
    </w:tbl>
    <w:p w:rsidR="000B47E5" w:rsidRDefault="000B47E5">
      <w:pPr>
        <w:spacing w:after="120" w:line="192" w:lineRule="auto"/>
      </w:pPr>
    </w:p>
    <w:p w:rsidR="000B47E5" w:rsidRDefault="00A26E14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B. SRUTHI, Faculty Project Guide, Department of CSE</w:t>
      </w:r>
    </w:p>
    <w:p w:rsidR="000B47E5" w:rsidRDefault="00A26E14">
      <w:pPr>
        <w:spacing w:after="120"/>
      </w:pPr>
      <w:r>
        <w:rPr>
          <w:rFonts w:cs="Times New Roman"/>
          <w:i/>
          <w:sz w:val="21"/>
        </w:rPr>
        <w:t>Chapter and section numbers quoted in the text (for example Section 6.6 or Chapter 8) refer to the full project report, 17.Final Document. Figures and tables in this document a</w:t>
      </w:r>
      <w:r>
        <w:rPr>
          <w:rFonts w:cs="Times New Roman"/>
          <w:i/>
          <w:sz w:val="21"/>
        </w:rPr>
        <w:t>re numbered from 1.</w:t>
      </w:r>
    </w:p>
    <w:p w:rsidR="000B47E5" w:rsidRDefault="00A26E14">
      <w:pPr>
        <w:pStyle w:val="Heading1"/>
      </w:pPr>
      <w:r>
        <w:t>CHAPTER 9: CONCLUSION</w:t>
      </w:r>
    </w:p>
    <w:p w:rsidR="000B47E5" w:rsidRDefault="00A26E14">
      <w:pPr>
        <w:pStyle w:val="Heading2"/>
      </w:pPr>
      <w:r>
        <w:t>9.1 Summary of the Work</w:t>
      </w:r>
    </w:p>
    <w:p w:rsidR="000B47E5" w:rsidRDefault="00A26E14">
      <w:r>
        <w:rPr>
          <w:rFonts w:cs="Times New Roman"/>
        </w:rPr>
        <w:t xml:space="preserve">This project set out to replace one-disease-at-a-time screening tools with a single system that estimates the risk of diabetes, heart disease, liver disease and kidney disease from routine </w:t>
      </w:r>
      <w:r>
        <w:rPr>
          <w:rFonts w:cs="Times New Roman"/>
        </w:rPr>
        <w:t xml:space="preserve">clinical values. It built a data generator, a training script that fits and compares Logistic Regression, a Decision Tree, a Random Forest and an RBF Support Vector Machine for each disease on standardised inputs and saves the model with the highest F1, a </w:t>
      </w:r>
      <w:r>
        <w:rPr>
          <w:rFonts w:cs="Times New Roman"/>
        </w:rPr>
        <w:t>Flask application that loads the saved models, a FastAPI service with seven routes that reuses the same prediction code, and a React web interface with a prediction form for each disease, a model-comparison page, a dataset page and a not-a-diagnosis notice</w:t>
      </w:r>
      <w:r>
        <w:rPr>
          <w:rFonts w:cs="Times New Roman"/>
        </w:rPr>
        <w:t>. Around these, the project added the measurements that the training script does not make: ROC-AUC, confusion matrices, cross-validation, repeated splits, threshold sweeps, permutation importance, a real-data check and API tests.</w:t>
      </w:r>
    </w:p>
    <w:p w:rsidR="000B47E5" w:rsidRDefault="00A26E14">
      <w:r>
        <w:rPr>
          <w:rFonts w:cs="Times New Roman"/>
        </w:rPr>
        <w:lastRenderedPageBreak/>
        <w:t>On the 400-row test sets o</w:t>
      </w:r>
      <w:r>
        <w:rPr>
          <w:rFonts w:cs="Times New Roman"/>
        </w:rPr>
        <w:t xml:space="preserve">f the </w:t>
      </w:r>
      <w:r>
        <w:rPr>
          <w:rFonts w:cs="Times New Roman"/>
          <w:b/>
        </w:rPr>
        <w:t>synthetic</w:t>
      </w:r>
      <w:r>
        <w:rPr>
          <w:rFonts w:cs="Times New Roman"/>
        </w:rPr>
        <w:t xml:space="preserve"> data, the served models reach accuracy 89.5% (diabetes, SVM), 88.5% (heart disease, Logistic Regression), 91.8% (liver disease, Logistic Regression) and 88.3% (kidney disease, Logistic Regression), close to the 92% ceiling that the 8% label</w:t>
      </w:r>
      <w:r>
        <w:rPr>
          <w:rFonts w:cs="Times New Roman"/>
        </w:rPr>
        <w:t xml:space="preserve"> noise allows. Cross-validation and ten random splits show that Logistic Regression is the best model for every disease on every split, including diabetes, where the SVM was shipped on the strength of a single split; Random Forest and the Decision Tree fit</w:t>
      </w:r>
      <w:r>
        <w:rPr>
          <w:rFonts w:cs="Times New Roman"/>
        </w:rPr>
        <w:t xml:space="preserve"> the noisy labels and score lower. On real public data the same algorithms reach 76.5% (Pima diabetes), 84.3% (Cleveland heart), 71.8% (ILPD liver) and 98.8% (chronic kidney disease), and the shipped models transfer only partly: for liver disease their acc</w:t>
      </w:r>
      <w:r>
        <w:rPr>
          <w:rFonts w:cs="Times New Roman"/>
        </w:rPr>
        <w:t>uracy of 54.0% is below the 71.4% majority-class baseline.</w:t>
      </w:r>
    </w:p>
    <w:p w:rsidR="000B47E5" w:rsidRDefault="00A26E14">
      <w:pPr>
        <w:pStyle w:val="Heading2"/>
      </w:pPr>
      <w:r>
        <w:t>9.2 Objectives Revisited</w:t>
      </w:r>
    </w:p>
    <w:p w:rsidR="000B47E5" w:rsidRDefault="00A26E14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Outcome against the six objectives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3168"/>
        <w:gridCol w:w="1152"/>
        <w:gridCol w:w="3744"/>
      </w:tblGrid>
      <w:tr w:rsidR="000B47E5">
        <w:trPr>
          <w:cantSplit/>
          <w:tblHeader/>
          <w:jc w:val="center"/>
        </w:trPr>
        <w:tc>
          <w:tcPr>
            <w:tcW w:w="576" w:type="dxa"/>
            <w:shd w:val="clear" w:color="auto" w:fill="1B2A41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No.</w:t>
            </w:r>
          </w:p>
        </w:tc>
        <w:tc>
          <w:tcPr>
            <w:tcW w:w="3168" w:type="dxa"/>
            <w:shd w:val="clear" w:color="auto" w:fill="1B2A41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Objective</w:t>
            </w:r>
          </w:p>
        </w:tc>
        <w:tc>
          <w:tcPr>
            <w:tcW w:w="1152" w:type="dxa"/>
            <w:shd w:val="clear" w:color="auto" w:fill="1B2A41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Outcome</w:t>
            </w:r>
          </w:p>
        </w:tc>
        <w:tc>
          <w:tcPr>
            <w:tcW w:w="3744" w:type="dxa"/>
            <w:shd w:val="clear" w:color="auto" w:fill="1B2A41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Evidence</w:t>
            </w:r>
          </w:p>
        </w:tc>
      </w:tr>
      <w:tr w:rsidR="000B47E5">
        <w:trPr>
          <w:cantSplit/>
          <w:jc w:val="center"/>
        </w:trPr>
        <w:tc>
          <w:tcPr>
            <w:tcW w:w="576" w:type="dxa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1</w:t>
            </w:r>
          </w:p>
        </w:tc>
        <w:tc>
          <w:tcPr>
            <w:tcW w:w="3168" w:type="dxa"/>
          </w:tcPr>
          <w:p w:rsidR="000B47E5" w:rsidRDefault="00A26E14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Collect and clean benchmark datasets covering diabetes, heart disease,</w:t>
            </w:r>
            <w:r>
              <w:rPr>
                <w:rFonts w:cs="Times New Roman"/>
                <w:sz w:val="18"/>
              </w:rPr>
              <w:t xml:space="preserve"> liver and kidney disorders.</w:t>
            </w:r>
          </w:p>
        </w:tc>
        <w:tc>
          <w:tcPr>
            <w:tcW w:w="1152" w:type="dxa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PARTLY</w:t>
            </w:r>
          </w:p>
        </w:tc>
        <w:tc>
          <w:tcPr>
            <w:tcW w:w="3744" w:type="dxa"/>
          </w:tcPr>
          <w:p w:rsidR="000B47E5" w:rsidRDefault="00A26E14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Four datasets of 2,000 rows each exist, but they are synthetic (generated by generate_data.py), not benchmark data.</w:t>
            </w:r>
          </w:p>
        </w:tc>
      </w:tr>
      <w:tr w:rsidR="000B47E5">
        <w:trPr>
          <w:cantSplit/>
          <w:jc w:val="center"/>
        </w:trPr>
        <w:tc>
          <w:tcPr>
            <w:tcW w:w="576" w:type="dxa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2</w:t>
            </w:r>
          </w:p>
        </w:tc>
        <w:tc>
          <w:tcPr>
            <w:tcW w:w="3168" w:type="dxa"/>
          </w:tcPr>
          <w:p w:rsidR="000B47E5" w:rsidRDefault="00A26E14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Handle missing values, outliers and feature scaling through a common preprocessing pipeline.</w:t>
            </w:r>
          </w:p>
        </w:tc>
        <w:tc>
          <w:tcPr>
            <w:tcW w:w="1152" w:type="dxa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PARTLY</w:t>
            </w:r>
          </w:p>
        </w:tc>
        <w:tc>
          <w:tcPr>
            <w:tcW w:w="3744" w:type="dxa"/>
          </w:tcPr>
          <w:p w:rsidR="000B47E5" w:rsidRDefault="00A26E14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All inputs pass through one StandardScaler step.</w:t>
            </w:r>
          </w:p>
        </w:tc>
      </w:tr>
      <w:tr w:rsidR="000B47E5">
        <w:trPr>
          <w:cantSplit/>
          <w:jc w:val="center"/>
        </w:trPr>
        <w:tc>
          <w:tcPr>
            <w:tcW w:w="576" w:type="dxa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3</w:t>
            </w:r>
          </w:p>
        </w:tc>
        <w:tc>
          <w:tcPr>
            <w:tcW w:w="3168" w:type="dxa"/>
          </w:tcPr>
          <w:p w:rsidR="000B47E5" w:rsidRDefault="00A26E14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Train and compare Logistic Regression, Decision Tree, Random Forest and Support Vector Machine for each disease.</w:t>
            </w:r>
          </w:p>
        </w:tc>
        <w:tc>
          <w:tcPr>
            <w:tcW w:w="1152" w:type="dxa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ACHIEVED</w:t>
            </w:r>
          </w:p>
        </w:tc>
        <w:tc>
          <w:tcPr>
            <w:tcW w:w="3744" w:type="dxa"/>
          </w:tcPr>
          <w:p w:rsidR="000B47E5" w:rsidRDefault="00A26E14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16 models (4 algorithms x 4 diseases) were trained on the same split with fixed se</w:t>
            </w:r>
            <w:r>
              <w:rPr>
                <w:rFonts w:cs="Times New Roman"/>
                <w:sz w:val="18"/>
              </w:rPr>
              <w:t>ttings and compared.</w:t>
            </w:r>
          </w:p>
        </w:tc>
      </w:tr>
      <w:tr w:rsidR="000B47E5">
        <w:trPr>
          <w:cantSplit/>
          <w:jc w:val="center"/>
        </w:trPr>
        <w:tc>
          <w:tcPr>
            <w:tcW w:w="576" w:type="dxa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4</w:t>
            </w:r>
          </w:p>
        </w:tc>
        <w:tc>
          <w:tcPr>
            <w:tcW w:w="3168" w:type="dxa"/>
          </w:tcPr>
          <w:p w:rsidR="000B47E5" w:rsidRDefault="00A26E14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Select the best model per disease using accuracy, precision, recall and ROC-AUC.</w:t>
            </w:r>
          </w:p>
        </w:tc>
        <w:tc>
          <w:tcPr>
            <w:tcW w:w="1152" w:type="dxa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PARTLY</w:t>
            </w:r>
          </w:p>
        </w:tc>
        <w:tc>
          <w:tcPr>
            <w:tcW w:w="3744" w:type="dxa"/>
          </w:tcPr>
          <w:p w:rsidR="000B47E5" w:rsidRDefault="00A26E14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Selection is by F1 on the test set.</w:t>
            </w:r>
          </w:p>
        </w:tc>
      </w:tr>
      <w:tr w:rsidR="000B47E5">
        <w:trPr>
          <w:cantSplit/>
          <w:jc w:val="center"/>
        </w:trPr>
        <w:tc>
          <w:tcPr>
            <w:tcW w:w="576" w:type="dxa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5</w:t>
            </w:r>
          </w:p>
        </w:tc>
        <w:tc>
          <w:tcPr>
            <w:tcW w:w="3168" w:type="dxa"/>
          </w:tcPr>
          <w:p w:rsidR="000B47E5" w:rsidRDefault="00A26E14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Serve the selected models behind a single interface that accepts one patient record.</w:t>
            </w:r>
          </w:p>
        </w:tc>
        <w:tc>
          <w:tcPr>
            <w:tcW w:w="1152" w:type="dxa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ACHIEVED</w:t>
            </w:r>
          </w:p>
        </w:tc>
        <w:tc>
          <w:tcPr>
            <w:tcW w:w="3744" w:type="dxa"/>
          </w:tcPr>
          <w:p w:rsidR="000B47E5" w:rsidRDefault="00A26E14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 FastAPI +</w:t>
            </w:r>
            <w:r>
              <w:rPr>
                <w:rFonts w:cs="Times New Roman"/>
                <w:sz w:val="18"/>
              </w:rPr>
              <w:t xml:space="preserve"> React application serves the four selected models through 7 API routes; 41 of 41 API checks passed.</w:t>
            </w:r>
          </w:p>
        </w:tc>
      </w:tr>
      <w:tr w:rsidR="000B47E5">
        <w:trPr>
          <w:cantSplit/>
          <w:jc w:val="center"/>
        </w:trPr>
        <w:tc>
          <w:tcPr>
            <w:tcW w:w="576" w:type="dxa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6</w:t>
            </w:r>
          </w:p>
        </w:tc>
        <w:tc>
          <w:tcPr>
            <w:tcW w:w="3168" w:type="dxa"/>
          </w:tcPr>
          <w:p w:rsidR="000B47E5" w:rsidRDefault="00A26E14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Present a per-disease risk indication together with the parameters that drove it.</w:t>
            </w:r>
          </w:p>
        </w:tc>
        <w:tc>
          <w:tcPr>
            <w:tcW w:w="1152" w:type="dxa"/>
          </w:tcPr>
          <w:p w:rsidR="000B47E5" w:rsidRDefault="00A26E14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PARTLY</w:t>
            </w:r>
          </w:p>
        </w:tc>
        <w:tc>
          <w:tcPr>
            <w:tcW w:w="3744" w:type="dxa"/>
          </w:tcPr>
          <w:p w:rsidR="000B47E5" w:rsidRDefault="00A26E14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The risk class and the model's confidence are shown.</w:t>
            </w:r>
          </w:p>
        </w:tc>
      </w:tr>
    </w:tbl>
    <w:p w:rsidR="000B47E5" w:rsidRDefault="000B47E5">
      <w:pPr>
        <w:spacing w:after="120" w:line="192" w:lineRule="auto"/>
      </w:pPr>
    </w:p>
    <w:p w:rsidR="000B47E5" w:rsidRDefault="00A26E14">
      <w:r>
        <w:rPr>
          <w:rFonts w:cs="Times New Roman"/>
        </w:rPr>
        <w:t>Three ob</w:t>
      </w:r>
      <w:r>
        <w:rPr>
          <w:rFonts w:cs="Times New Roman"/>
        </w:rPr>
        <w:t>jectives are met only in part, and the conclusions are written accordingly: the data are synthetic rather than benchmark data, there is no missing-value or outlier handling because the synthetic data contain none, ROC-AUC was not part of model selection, a</w:t>
      </w:r>
      <w:r>
        <w:rPr>
          <w:rFonts w:cs="Times New Roman"/>
        </w:rPr>
        <w:t>nd the application does not show which parameters drove a prediction.</w:t>
      </w:r>
    </w:p>
    <w:p w:rsidR="000B47E5" w:rsidRDefault="00A26E14">
      <w:pPr>
        <w:pStyle w:val="Heading2"/>
      </w:pPr>
      <w:r>
        <w:t>9.3 Key Findings</w:t>
      </w:r>
    </w:p>
    <w:p w:rsidR="000B47E5" w:rsidRDefault="00A26E14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One interface for four diseases works.</w:t>
      </w:r>
      <w:r>
        <w:rPr>
          <w:rFonts w:cs="Times New Roman"/>
        </w:rPr>
        <w:t xml:space="preserve"> A single API and web application serve sixteen trained models; a prediction takes about 14 ms at the median on the project machine, and 41 of 41 API checks pass.</w:t>
      </w:r>
    </w:p>
    <w:p w:rsidR="000B47E5" w:rsidRDefault="00A26E14">
      <w:pPr>
        <w:spacing w:after="60"/>
        <w:ind w:left="720" w:hanging="432"/>
      </w:pPr>
      <w:r>
        <w:rPr>
          <w:rFonts w:cs="Times New Roman"/>
        </w:rPr>
        <w:lastRenderedPageBreak/>
        <w:t xml:space="preserve">2.  </w:t>
      </w:r>
      <w:r>
        <w:rPr>
          <w:rFonts w:cs="Times New Roman"/>
          <w:b/>
        </w:rPr>
        <w:t>Synthetic accuracy measures the rule, not the patient.</w:t>
      </w:r>
      <w:r>
        <w:rPr>
          <w:rFonts w:cs="Times New Roman"/>
        </w:rPr>
        <w:t xml:space="preserve"> The generator's label rule is line</w:t>
      </w:r>
      <w:r>
        <w:rPr>
          <w:rFonts w:cs="Times New Roman"/>
        </w:rPr>
        <w:t>ar with 8% flipped labels, so about 92% is the best any model can do; the models reach 88-92% and a linear model is the right family.</w:t>
      </w:r>
    </w:p>
    <w:p w:rsidR="000B47E5" w:rsidRDefault="00A26E14">
      <w:pPr>
        <w:spacing w:after="60"/>
        <w:ind w:left="720" w:hanging="432"/>
      </w:pPr>
      <w:r>
        <w:rPr>
          <w:rFonts w:cs="Times New Roman"/>
        </w:rPr>
        <w:t xml:space="preserve">3.  </w:t>
      </w:r>
      <w:r>
        <w:rPr>
          <w:rFonts w:cs="Times New Roman"/>
          <w:b/>
        </w:rPr>
        <w:t>The simple model is the best model.</w:t>
      </w:r>
      <w:r>
        <w:rPr>
          <w:rFonts w:cs="Times New Roman"/>
        </w:rPr>
        <w:t xml:space="preserve"> Logistic Regression has the best F1 on 10 of 10 splits for all four diseases, the </w:t>
      </w:r>
      <w:r>
        <w:rPr>
          <w:rFonts w:cs="Times New Roman"/>
        </w:rPr>
        <w:t>highest cross-validated accuracy, and the smallest gap between training and test accuracy.</w:t>
      </w:r>
    </w:p>
    <w:p w:rsidR="000B47E5" w:rsidRDefault="00A26E14">
      <w:pPr>
        <w:spacing w:after="60"/>
        <w:ind w:left="720" w:hanging="432"/>
      </w:pPr>
      <w:r>
        <w:rPr>
          <w:rFonts w:cs="Times New Roman"/>
        </w:rPr>
        <w:t xml:space="preserve">4.  </w:t>
      </w:r>
      <w:r>
        <w:rPr>
          <w:rFonts w:cs="Times New Roman"/>
          <w:b/>
        </w:rPr>
        <w:t>Model selection on one split can be wrong.</w:t>
      </w:r>
      <w:r>
        <w:rPr>
          <w:rFonts w:cs="Times New Roman"/>
        </w:rPr>
        <w:t xml:space="preserve"> The shipped diabetes model (SVM, F1 0.8636) is not supported by cross-validation, where Logistic Regression is better.</w:t>
      </w:r>
    </w:p>
    <w:p w:rsidR="000B47E5" w:rsidRDefault="00A26E14">
      <w:pPr>
        <w:spacing w:after="60"/>
        <w:ind w:left="720" w:hanging="432"/>
      </w:pPr>
      <w:r>
        <w:rPr>
          <w:rFonts w:cs="Times New Roman"/>
        </w:rPr>
        <w:t xml:space="preserve">5.  </w:t>
      </w:r>
      <w:r>
        <w:rPr>
          <w:rFonts w:cs="Times New Roman"/>
          <w:b/>
        </w:rPr>
        <w:t>Real data are harder.</w:t>
      </w:r>
      <w:r>
        <w:rPr>
          <w:rFonts w:cs="Times New Roman"/>
        </w:rPr>
        <w:t xml:space="preserve"> Accuracy falls to 71.8-84.3% for three of the four diseases, and a model trained on synthetic data can fall below the majority-class baseline on real records.</w:t>
      </w:r>
    </w:p>
    <w:p w:rsidR="000B47E5" w:rsidRDefault="00A26E14">
      <w:pPr>
        <w:spacing w:after="60"/>
        <w:ind w:left="720" w:hanging="432"/>
      </w:pPr>
      <w:r>
        <w:rPr>
          <w:rFonts w:cs="Times New Roman"/>
        </w:rPr>
        <w:t xml:space="preserve">6.  </w:t>
      </w:r>
      <w:r>
        <w:rPr>
          <w:rFonts w:cs="Times New Roman"/>
          <w:b/>
        </w:rPr>
        <w:t>A displayed confidence is not an accuracy.</w:t>
      </w:r>
      <w:r>
        <w:rPr>
          <w:rFonts w:cs="Times New Roman"/>
        </w:rPr>
        <w:t xml:space="preserve"> The shown percentage is</w:t>
      </w:r>
      <w:r>
        <w:rPr>
          <w:rFonts w:cs="Times New Roman"/>
        </w:rPr>
        <w:t xml:space="preserve"> the probability of the predicted class, and a false positive can be displayed with 99.53%.</w:t>
      </w:r>
    </w:p>
    <w:p w:rsidR="000B47E5" w:rsidRDefault="00A26E14">
      <w:pPr>
        <w:pStyle w:val="Heading2"/>
      </w:pPr>
      <w:r>
        <w:t>9.4 Practical Applications</w:t>
      </w:r>
    </w:p>
    <w:p w:rsidR="000B47E5" w:rsidRDefault="00A26E14">
      <w:r>
        <w:rPr>
          <w:rFonts w:cs="Times New Roman"/>
        </w:rPr>
        <w:t xml:space="preserve">The system is suitable as a </w:t>
      </w:r>
      <w:r>
        <w:rPr>
          <w:rFonts w:cs="Times New Roman"/>
          <w:b/>
        </w:rPr>
        <w:t>teaching and demonstration aid</w:t>
      </w:r>
      <w:r>
        <w:rPr>
          <w:rFonts w:cs="Times New Roman"/>
        </w:rPr>
        <w:t>: it shows how four classical classifiers are trained, compared and served behind one interface, how a model is wrapped in an API and a web form, and how much the numbers depend on the data. With real, validated training data and the additions in Chapter 1</w:t>
      </w:r>
      <w:r>
        <w:rPr>
          <w:rFonts w:cs="Times New Roman"/>
        </w:rPr>
        <w:t xml:space="preserve">0 it could become a screening aid in settings with few specialists, helping a health worker decide whom to refer for a confirmatory laboratory test. It is </w:t>
      </w:r>
      <w:r>
        <w:rPr>
          <w:rFonts w:cs="Times New Roman"/>
          <w:b/>
        </w:rPr>
        <w:t>not a diagnostic tool</w:t>
      </w:r>
      <w:r>
        <w:rPr>
          <w:rFonts w:cs="Times New Roman"/>
        </w:rPr>
        <w:t>, it has not been validated on patients, and the application says so on every re</w:t>
      </w:r>
      <w:r>
        <w:rPr>
          <w:rFonts w:cs="Times New Roman"/>
        </w:rPr>
        <w:t>sult.</w:t>
      </w:r>
    </w:p>
    <w:p w:rsidR="000B47E5" w:rsidRDefault="00A26E14">
      <w:pPr>
        <w:pStyle w:val="Heading2"/>
      </w:pPr>
      <w:r>
        <w:t>9.5 Known Limitations</w:t>
      </w:r>
    </w:p>
    <w:p w:rsidR="000B47E5" w:rsidRDefault="00A26E14">
      <w:r>
        <w:rPr>
          <w:rFonts w:cs="Times New Roman"/>
        </w:rPr>
        <w:t>The limitations are discussed in full in the Scope and Limitations document; the main ones are:</w:t>
      </w:r>
    </w:p>
    <w:p w:rsidR="000B47E5" w:rsidRDefault="00A26E14">
      <w:pPr>
        <w:spacing w:after="60"/>
        <w:ind w:left="720" w:hanging="360"/>
      </w:pPr>
      <w:r>
        <w:rPr>
          <w:rFonts w:cs="Times New Roman"/>
        </w:rPr>
        <w:t>•  The training data are synthetic; the metrics are not clinical performance and cannot be compared with published results on real d</w:t>
      </w:r>
      <w:r>
        <w:rPr>
          <w:rFonts w:cs="Times New Roman"/>
        </w:rPr>
        <w:t>ata.</w:t>
      </w:r>
    </w:p>
    <w:p w:rsidR="000B47E5" w:rsidRDefault="00A26E14">
      <w:pPr>
        <w:spacing w:after="60"/>
        <w:ind w:left="720" w:hanging="360"/>
      </w:pPr>
      <w:r>
        <w:rPr>
          <w:rFonts w:cs="Times New Roman"/>
        </w:rPr>
        <w:t>•  Selection of the served model uses the same 400-row test set that reports its score, with fixed settings and no tuning.</w:t>
      </w:r>
    </w:p>
    <w:p w:rsidR="000B47E5" w:rsidRDefault="00A26E14">
      <w:pPr>
        <w:spacing w:after="60"/>
        <w:ind w:left="720" w:hanging="360"/>
      </w:pPr>
      <w:r>
        <w:rPr>
          <w:rFonts w:cs="Times New Roman"/>
        </w:rPr>
        <w:t>•  No missing-value or outlier handling, no calibration and no per-prediction explanation; the application's confidence is the p</w:t>
      </w:r>
      <w:r>
        <w:rPr>
          <w:rFonts w:cs="Times New Roman"/>
        </w:rPr>
        <w:t>robability of the predicted class.</w:t>
      </w:r>
    </w:p>
    <w:p w:rsidR="000B47E5" w:rsidRDefault="00A26E14">
      <w:pPr>
        <w:spacing w:after="60"/>
        <w:ind w:left="720" w:hanging="360"/>
      </w:pPr>
      <w:r>
        <w:rPr>
          <w:rFonts w:cs="Times New Roman"/>
        </w:rPr>
        <w:t>•  No range validation: impossible values such as a glucose of 100,000 mg/dL are classified.</w:t>
      </w:r>
    </w:p>
    <w:p w:rsidR="000B47E5" w:rsidRDefault="00A26E14">
      <w:pPr>
        <w:spacing w:after="60"/>
        <w:ind w:left="720" w:hanging="360"/>
      </w:pPr>
      <w:r>
        <w:rPr>
          <w:rFonts w:cs="Times New Roman"/>
        </w:rPr>
        <w:lastRenderedPageBreak/>
        <w:t>•  No sign-in, database, audit log or stored history; no pytest suite, usability study, fairness analysis or external validation</w:t>
      </w:r>
      <w:r>
        <w:rPr>
          <w:rFonts w:cs="Times New Roman"/>
        </w:rPr>
        <w:t>.</w:t>
      </w:r>
    </w:p>
    <w:p w:rsidR="000B47E5" w:rsidRDefault="00A26E14">
      <w:pPr>
        <w:pStyle w:val="Heading2"/>
      </w:pPr>
      <w:r>
        <w:t>9.6 Concluding Remarks</w:t>
      </w:r>
    </w:p>
    <w:p w:rsidR="000B47E5" w:rsidRDefault="00A26E14">
      <w:r>
        <w:rPr>
          <w:rFonts w:cs="Times New Roman"/>
        </w:rPr>
        <w:t xml:space="preserve">The project shows that a multi-disease screening pipeline can be built from open-source parts, run on a desktop in seconds, and audited honestly: every number in this report can be regenerated by a script, and the places where the </w:t>
      </w:r>
      <w:r>
        <w:rPr>
          <w:rFonts w:cs="Times New Roman"/>
        </w:rPr>
        <w:t>evidence is weak are stated. It follows the base paper [1] in comparing several classifiers by held-out evaluation and in treating interpretability as essential for clinical trust, but it does not reach the paper's rigour (nested cross-validation, real dat</w:t>
      </w:r>
      <w:r>
        <w:rPr>
          <w:rFonts w:cs="Times New Roman"/>
        </w:rPr>
        <w:t>a, SHAP and counterfactual explanations). The next step, described in Chapter 10, is to repeat the evaluation on real patient data with proper validation before anyone relies on the output.</w:t>
      </w:r>
    </w:p>
    <w:p w:rsidR="000B47E5" w:rsidRDefault="00A26E14">
      <w:r>
        <w:rPr>
          <w:rFonts w:cs="Times New Roman"/>
        </w:rPr>
        <w:t>The two figures below summarise the evidence behind the conclusion</w:t>
      </w:r>
      <w:r>
        <w:rPr>
          <w:rFonts w:cs="Times New Roman"/>
        </w:rPr>
        <w:t>: the four algorithms side by side on the hold-out split, and the same algorithms on real public data.</w:t>
      </w:r>
    </w:p>
    <w:p w:rsidR="000B47E5" w:rsidRDefault="00A26E14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>
            <wp:extent cx="5394960" cy="38535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5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7E5" w:rsidRDefault="00A26E14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Hold-out metrics of the four algorithms for each disease (seed 42)</w:t>
      </w:r>
    </w:p>
    <w:p w:rsidR="000B47E5" w:rsidRDefault="00A26E14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937760" cy="2055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vs_synthet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05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7E5" w:rsidRDefault="00A26E14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Accuracy on </w:t>
      </w:r>
      <w:r>
        <w:rPr>
          <w:rFonts w:cs="Times New Roman"/>
        </w:rPr>
        <w:t>synthetic data, on real public data and of the shipped models on real records</w:t>
      </w:r>
    </w:p>
    <w:p w:rsidR="000B47E5" w:rsidRDefault="00A26E14">
      <w:r>
        <w:br w:type="page"/>
      </w:r>
    </w:p>
    <w:p w:rsidR="000B47E5" w:rsidRDefault="00A26E14">
      <w:pPr>
        <w:pStyle w:val="Heading1"/>
      </w:pPr>
      <w:r>
        <w:lastRenderedPageBreak/>
        <w:t>CHAPTER 10: FUTURE SCOPE</w:t>
      </w:r>
    </w:p>
    <w:p w:rsidR="000B47E5" w:rsidRDefault="00A26E14">
      <w:r>
        <w:rPr>
          <w:rFonts w:cs="Times New Roman"/>
        </w:rPr>
        <w:t>The work leaves several directions open. They are ordered by how much they would change the value of the system.</w:t>
      </w:r>
    </w:p>
    <w:p w:rsidR="000B47E5" w:rsidRDefault="00A26E14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Train and validate on real data.</w:t>
      </w:r>
      <w:r>
        <w:rPr>
          <w:rFonts w:cs="Times New Roman"/>
        </w:rPr>
        <w:t xml:space="preserve"> R</w:t>
      </w:r>
      <w:r>
        <w:rPr>
          <w:rFonts w:cs="Times New Roman"/>
        </w:rPr>
        <w:t>eplace the synthetic CSVs by the public benchmark data (Pima, Cleveland, ILPD, chronic kidney disease) or, better, local clinical records, add median or model-based imputation and outlier handling inside the pipeline, and report the real-data results of Se</w:t>
      </w:r>
      <w:r>
        <w:rPr>
          <w:rFonts w:cs="Times New Roman"/>
        </w:rPr>
        <w:t>ction 8.8 as the headline. This addresses the main weakness of the present work.</w:t>
      </w:r>
    </w:p>
    <w:p w:rsidR="000B47E5" w:rsidRDefault="00A26E14">
      <w:pPr>
        <w:spacing w:after="60"/>
        <w:ind w:left="720" w:hanging="432"/>
      </w:pPr>
      <w:r>
        <w:rPr>
          <w:rFonts w:cs="Times New Roman"/>
        </w:rPr>
        <w:t xml:space="preserve">2.  </w:t>
      </w:r>
      <w:r>
        <w:rPr>
          <w:rFonts w:cs="Times New Roman"/>
          <w:b/>
        </w:rPr>
        <w:t>Nested cross-validation and tuning.</w:t>
      </w:r>
      <w:r>
        <w:rPr>
          <w:rFonts w:cs="Times New Roman"/>
        </w:rPr>
        <w:t xml:space="preserve"> Follow the base paper: choose hyper-parameters and the algorithm in an inner loop and report an outer-loop estimate, so that model sele</w:t>
      </w:r>
      <w:r>
        <w:rPr>
          <w:rFonts w:cs="Times New Roman"/>
        </w:rPr>
        <w:t>ction no longer uses the reported test set. This would also settle the diabetes choice.</w:t>
      </w:r>
    </w:p>
    <w:p w:rsidR="000B47E5" w:rsidRDefault="00A26E14">
      <w:pPr>
        <w:spacing w:after="60"/>
        <w:ind w:left="720" w:hanging="432"/>
      </w:pPr>
      <w:r>
        <w:rPr>
          <w:rFonts w:cs="Times New Roman"/>
        </w:rPr>
        <w:t xml:space="preserve">3.  </w:t>
      </w:r>
      <w:r>
        <w:rPr>
          <w:rFonts w:cs="Times New Roman"/>
          <w:b/>
        </w:rPr>
        <w:t>Explain every prediction.</w:t>
      </w:r>
      <w:r>
        <w:rPr>
          <w:rFonts w:cs="Times New Roman"/>
        </w:rPr>
        <w:t xml:space="preserve"> Add SHAP values and counterfactual "what would change the result" explanations, as in the base paper, and show the driving parameters on the result card; the offline permutation analysis of this report is a starting point.</w:t>
      </w:r>
    </w:p>
    <w:p w:rsidR="000B47E5" w:rsidRDefault="00A26E14">
      <w:pPr>
        <w:spacing w:after="60"/>
        <w:ind w:left="720" w:hanging="432"/>
      </w:pPr>
      <w:r>
        <w:rPr>
          <w:rFonts w:cs="Times New Roman"/>
        </w:rPr>
        <w:t xml:space="preserve">4.  </w:t>
      </w:r>
      <w:r>
        <w:rPr>
          <w:rFonts w:cs="Times New Roman"/>
          <w:b/>
        </w:rPr>
        <w:t>Calibrate and expose the thr</w:t>
      </w:r>
      <w:r>
        <w:rPr>
          <w:rFonts w:cs="Times New Roman"/>
          <w:b/>
        </w:rPr>
        <w:t>eshold.</w:t>
      </w:r>
      <w:r>
        <w:rPr>
          <w:rFonts w:cs="Times New Roman"/>
        </w:rPr>
        <w:t xml:space="preserve"> Apply Platt scaling or isotonic regression on a validation split so that the percentage can be read as a risk, show a reliability curve, and let the user choose the decision threshold for a screening or a confirmatory use.</w:t>
      </w:r>
    </w:p>
    <w:p w:rsidR="000B47E5" w:rsidRDefault="00A26E14">
      <w:pPr>
        <w:spacing w:after="60"/>
        <w:ind w:left="720" w:hanging="432"/>
      </w:pPr>
      <w:r>
        <w:rPr>
          <w:rFonts w:cs="Times New Roman"/>
        </w:rPr>
        <w:t xml:space="preserve">5.  </w:t>
      </w:r>
      <w:r>
        <w:rPr>
          <w:rFonts w:cs="Times New Roman"/>
          <w:b/>
        </w:rPr>
        <w:t>Validate inputs clini</w:t>
      </w:r>
      <w:r>
        <w:rPr>
          <w:rFonts w:cs="Times New Roman"/>
          <w:b/>
        </w:rPr>
        <w:t>cally.</w:t>
      </w:r>
      <w:r>
        <w:rPr>
          <w:rFonts w:cs="Times New Roman"/>
        </w:rPr>
        <w:t xml:space="preserve"> Reject or flag physiologically impossible values on the server, not only in the form, and show units and reference ranges next to each field.</w:t>
      </w:r>
    </w:p>
    <w:p w:rsidR="000B47E5" w:rsidRDefault="00A26E14">
      <w:pPr>
        <w:spacing w:after="60"/>
        <w:ind w:left="720" w:hanging="432"/>
      </w:pPr>
      <w:r>
        <w:rPr>
          <w:rFonts w:cs="Times New Roman"/>
        </w:rPr>
        <w:t xml:space="preserve">6.  </w:t>
      </w:r>
      <w:r>
        <w:rPr>
          <w:rFonts w:cs="Times New Roman"/>
          <w:b/>
        </w:rPr>
        <w:t>Recommendations and referral guidance.</w:t>
      </w:r>
      <w:r>
        <w:rPr>
          <w:rFonts w:cs="Times New Roman"/>
        </w:rPr>
        <w:t xml:space="preserve"> Generate the "healthcare recommendations" promised in the abstract from reviewed clinical rules, with wording approved by a clinician, and link each to a confirmatory test.</w:t>
      </w:r>
    </w:p>
    <w:p w:rsidR="000B47E5" w:rsidRDefault="00A26E14">
      <w:pPr>
        <w:spacing w:after="60"/>
        <w:ind w:left="720" w:hanging="432"/>
      </w:pPr>
      <w:r>
        <w:rPr>
          <w:rFonts w:cs="Times New Roman"/>
        </w:rPr>
        <w:t xml:space="preserve">7.  </w:t>
      </w:r>
      <w:r>
        <w:rPr>
          <w:rFonts w:cs="Times New Roman"/>
          <w:b/>
        </w:rPr>
        <w:t>More conditions and one-record scoring.</w:t>
      </w:r>
      <w:r>
        <w:rPr>
          <w:rFonts w:cs="Times New Roman"/>
        </w:rPr>
        <w:t xml:space="preserve"> Add further diseases (for example thyr</w:t>
      </w:r>
      <w:r>
        <w:rPr>
          <w:rFonts w:cs="Times New Roman"/>
        </w:rPr>
        <w:t>oid, as in the base paper) and score one patient record against all conditions at once, with a combined summary and a missing-value policy for fields that were not measured.</w:t>
      </w:r>
    </w:p>
    <w:p w:rsidR="000B47E5" w:rsidRDefault="00A26E14">
      <w:pPr>
        <w:spacing w:after="60"/>
        <w:ind w:left="720" w:hanging="432"/>
      </w:pPr>
      <w:r>
        <w:rPr>
          <w:rFonts w:cs="Times New Roman"/>
        </w:rPr>
        <w:t xml:space="preserve">8.  </w:t>
      </w:r>
      <w:r>
        <w:rPr>
          <w:rFonts w:cs="Times New Roman"/>
          <w:b/>
        </w:rPr>
        <w:t>Stronger models.</w:t>
      </w:r>
      <w:r>
        <w:rPr>
          <w:rFonts w:cs="Times New Roman"/>
        </w:rPr>
        <w:t xml:space="preserve"> Try gradient-boosted trees and calibrated linear models, keep</w:t>
      </w:r>
      <w:r>
        <w:rPr>
          <w:rFonts w:cs="Times New Roman"/>
        </w:rPr>
        <w:t xml:space="preserve"> Logistic Regression as the interpretable baseline, and compare with fairness across sex and age groups.</w:t>
      </w:r>
    </w:p>
    <w:p w:rsidR="000B47E5" w:rsidRDefault="00A26E14">
      <w:pPr>
        <w:spacing w:after="60"/>
        <w:ind w:left="720" w:hanging="432"/>
      </w:pPr>
      <w:r>
        <w:rPr>
          <w:rFonts w:cs="Times New Roman"/>
        </w:rPr>
        <w:t xml:space="preserve">9.  </w:t>
      </w:r>
      <w:r>
        <w:rPr>
          <w:rFonts w:cs="Times New Roman"/>
          <w:b/>
        </w:rPr>
        <w:t>Production foundations.</w:t>
      </w:r>
      <w:r>
        <w:rPr>
          <w:rFonts w:cs="Times New Roman"/>
        </w:rPr>
        <w:t xml:space="preserve"> Add accounts with roles, an audit log, versioned model storage and a database; containerise the API and the web application</w:t>
      </w:r>
      <w:r>
        <w:rPr>
          <w:rFonts w:cs="Times New Roman"/>
        </w:rPr>
        <w:t>; add a pytest suite, frontend tests and a load test.</w:t>
      </w:r>
    </w:p>
    <w:p w:rsidR="000B47E5" w:rsidRDefault="00A26E14">
      <w:pPr>
        <w:spacing w:after="60"/>
        <w:ind w:left="720" w:hanging="432"/>
      </w:pPr>
      <w:r>
        <w:rPr>
          <w:rFonts w:cs="Times New Roman"/>
        </w:rPr>
        <w:lastRenderedPageBreak/>
        <w:t xml:space="preserve">10.  </w:t>
      </w:r>
      <w:r>
        <w:rPr>
          <w:rFonts w:cs="Times New Roman"/>
          <w:b/>
        </w:rPr>
        <w:t>Deployment and scalability.</w:t>
      </w:r>
      <w:r>
        <w:rPr>
          <w:rFonts w:cs="Times New Roman"/>
        </w:rPr>
        <w:t xml:space="preserve"> The measured API handled about 415 requests per second on one desktop with four clients, which is ample for a clinic. Beyond that, run several stateless workers behind a</w:t>
      </w:r>
      <w:r>
        <w:rPr>
          <w:rFonts w:cs="Times New Roman"/>
        </w:rPr>
        <w:t xml:space="preserve"> reverse proxy; the models are small pickle files.</w:t>
      </w:r>
    </w:p>
    <w:p w:rsidR="000B47E5" w:rsidRDefault="00A26E14">
      <w:pPr>
        <w:spacing w:after="60"/>
        <w:ind w:left="720" w:hanging="432"/>
      </w:pPr>
      <w:r>
        <w:rPr>
          <w:rFonts w:cs="Times New Roman"/>
        </w:rPr>
        <w:t xml:space="preserve">11.  </w:t>
      </w:r>
      <w:r>
        <w:rPr>
          <w:rFonts w:cs="Times New Roman"/>
          <w:b/>
        </w:rPr>
        <w:t>Further research.</w:t>
      </w:r>
      <w:r>
        <w:rPr>
          <w:rFonts w:cs="Times New Roman"/>
        </w:rPr>
        <w:t xml:space="preserve"> Study how a screening aid changes referral behaviour in a rural health centre, how explanations affect trust, and whether models trained on one population transfer to another, which </w:t>
      </w:r>
      <w:r>
        <w:rPr>
          <w:rFonts w:cs="Times New Roman"/>
        </w:rPr>
        <w:t>the liver result of this report shows to be the critical question.</w:t>
      </w:r>
    </w:p>
    <w:p w:rsidR="000B47E5" w:rsidRDefault="00A26E14">
      <w:r>
        <w:rPr>
          <w:rFonts w:cs="Times New Roman"/>
        </w:rPr>
        <w:t>The first four are the most important: they address the main weakness of this report (synthetic data), the main weakness of the model choice (selection on the reported test set), the main g</w:t>
      </w:r>
      <w:r>
        <w:rPr>
          <w:rFonts w:cs="Times New Roman"/>
        </w:rPr>
        <w:t>ap against the base paper (explanations) and the main weakness of the output (an uncalibrated confidence).</w:t>
      </w:r>
    </w:p>
    <w:p w:rsidR="000B47E5" w:rsidRDefault="00A26E14">
      <w:r>
        <w:br w:type="page"/>
      </w:r>
    </w:p>
    <w:p w:rsidR="000B47E5" w:rsidRDefault="00A26E14">
      <w:pPr>
        <w:pStyle w:val="Heading1"/>
      </w:pPr>
      <w:r>
        <w:lastRenderedPageBreak/>
        <w:t>REFERENCES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t>[1]  M. Z. Alam, R. Rahman, H. M. Sozib, H. Ahmed, A. Hossain, A. A. Sabeena, A. F. Tasnim, F. Ahmed, M. I. Sarkar, and T. I. Erdei, "En</w:t>
      </w:r>
      <w:r>
        <w:rPr>
          <w:rFonts w:cs="Times New Roman"/>
          <w:sz w:val="20"/>
        </w:rPr>
        <w:t>hancing thyroid disease diagnosis with machine learning and counterfactual explainable AI," IEEE Access, vol. 14, pp. 80346-80370, 2026, doi: 10.1109/ACCESS.2026.3663497.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t>[2]  R. Zannat, A. Al Shafi, and A. Muntakim, "Bridging the gap in Bangla healthcare:</w:t>
      </w:r>
      <w:r>
        <w:rPr>
          <w:rFonts w:cs="Times New Roman"/>
          <w:sz w:val="20"/>
        </w:rPr>
        <w:t xml:space="preserve"> Machine learning based disease prediction using a symptoms-disease dataset," in Proc. Int. Conf. Elect., Comput. Commun. Eng. (ECCE), Chattogram, Bangladesh, Feb. 2025, doi: 10.1109/ECCE64574.2025.11012950 (arXiv:2601.12068).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t>[3]  J. Al Nahian, A. K. M. M</w:t>
      </w:r>
      <w:r>
        <w:rPr>
          <w:rFonts w:cs="Times New Roman"/>
          <w:sz w:val="20"/>
        </w:rPr>
        <w:t>asum, S. Abujar, and M. J. Mia, "Common human diseases prediction using machine learning based on survey data," arXiv:2209.10750, Sep. 2022 (accepted in Bull. Elect. Eng. Informat.).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t>[4]  V. Kamakshamma, G. M. Sumanth, K. R. G. N. K. Reddy, B. Pallavi, and</w:t>
      </w:r>
      <w:r>
        <w:rPr>
          <w:rFonts w:cs="Times New Roman"/>
          <w:sz w:val="20"/>
        </w:rPr>
        <w:t xml:space="preserve"> C. S. Varshini, "Multi-disease prediction system using machine learning," in Proc. 1st Int. Conf. Res. Develop. Inf., Commun., Comput. Technol. (ICRDICCT), vol. 2. SCITEPRESS, 2025, pp. 116-127, doi: 10.5220/0013878600004919.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t>[5]  A. Sun and F. Sun, "Pred</w:t>
      </w:r>
      <w:r>
        <w:rPr>
          <w:rFonts w:cs="Times New Roman"/>
          <w:sz w:val="20"/>
        </w:rPr>
        <w:t>iction of diabetes using supervised classification," J. Emerg. Investigators, Mar. 2024, doi: 10.59720/23-062.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t>[6]  M. A. Islam, M. Z. H. Majumder, and M. A. Hussein, "Chronic kidney disease prediction based on machine learning algorithms," J. Pathol. Info</w:t>
      </w:r>
      <w:r>
        <w:rPr>
          <w:rFonts w:cs="Times New Roman"/>
          <w:sz w:val="20"/>
        </w:rPr>
        <w:t>rm., vol. 14, Art. no. 100189, 2023, doi: 10.1016/j.jpi.2023.100189.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t>[7]  I. Straw and H. Wu, "Investigating for bias in healthcare algorithms: A sex-stratified analysis of supervised machine learning models in liver disease prediction," BMJ Health Care In</w:t>
      </w:r>
      <w:r>
        <w:rPr>
          <w:rFonts w:cs="Times New Roman"/>
          <w:sz w:val="20"/>
        </w:rPr>
        <w:t>form., vol. 29, no. 1, Art. no. e100457, 2022, doi: 10.1136/bmjhci-2021-100457.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t>[8]  A. Salekin and J. Stankovic, "Detection of chronic kidney disease and selecting important predictive attributes," in Proc. IEEE Int. Conf. Healthcare Informat. (ICHI), 201</w:t>
      </w:r>
      <w:r>
        <w:rPr>
          <w:rFonts w:cs="Times New Roman"/>
          <w:sz w:val="20"/>
        </w:rPr>
        <w:t>6, pp. 262-270, doi: 10.1109/ICHI.2016.36.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t>[9]  T. Choudhury, A. Sar, A. Katal, S. Aich, and P. Joshi, "Kidney disease prediction by machine learning techniques," in Machine Learning for Disease Detection, Prediction, and Diagnosis. Singapore: Springer Nat</w:t>
      </w:r>
      <w:r>
        <w:rPr>
          <w:rFonts w:cs="Times New Roman"/>
          <w:sz w:val="20"/>
        </w:rPr>
        <w:t>ure, 2025, pp. 171-190, doi: 10.1007/978-981-96-4241-0_9.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t>[10]  A. Thakur and A. Kumar, "Introduction to deep learning for disease prediction," in Machine Learning for Disease Detection, Prediction, and Diagnosis. Singapore: Springer Nature, 2025, pp. 33-6</w:t>
      </w:r>
      <w:r>
        <w:rPr>
          <w:rFonts w:cs="Times New Roman"/>
          <w:sz w:val="20"/>
        </w:rPr>
        <w:t>6, doi: 10.1007/978-981-96-4241-0_3.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t>[11]  M. Patil, N. Shinde, R. K. Sharma, S. Kadam, and S. Kashte, "Skin disease prediction using machine learning techniques," in Machine Learning for Disease Detection, Prediction, and Diagnosis. Singapore: Springer Na</w:t>
      </w:r>
      <w:r>
        <w:rPr>
          <w:rFonts w:cs="Times New Roman"/>
          <w:sz w:val="20"/>
        </w:rPr>
        <w:t>ture, 2025, pp. 225-256, doi: 10.1007/978-981-96-4241-0_12.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t>[12]  J. W. Smith, J. E. Everhart, W. C. Dickson, W. C. Knowler, and R. S. Johannes, "Using the ADAP learning algorithm to forecast the onset of diabetes mellitus," in Proc. Annu. Symp. Comput. Ap</w:t>
      </w:r>
      <w:r>
        <w:rPr>
          <w:rFonts w:cs="Times New Roman"/>
          <w:sz w:val="20"/>
        </w:rPr>
        <w:t>pl. Med. Care, 1988, pp. 261-265.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t>[13]  R. Detrano, A. Janosi, W. Steinbrunn, M. Pfisterer, J. J. Schmid, S. Sandhu, K. H. Guppy, S. Lee, and V. Froelicher, "International application of a new probability algorithm for the diagnosis of coronary artery dise</w:t>
      </w:r>
      <w:r>
        <w:rPr>
          <w:rFonts w:cs="Times New Roman"/>
          <w:sz w:val="20"/>
        </w:rPr>
        <w:t>ase," Amer. J. Cardiol., vol. 64, no. 5, pp. 304-310, Aug. 1989, doi: 10.1016/0002-9149(89)90524-9.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t>[14]  A. Janosi, W. Steinbrunn, M. Pfisterer, and R. Detrano, "Heart Disease," UCI Machine Learning Repository, 1989 (303 instances, 13 features), doi: 10.2</w:t>
      </w:r>
      <w:r>
        <w:rPr>
          <w:rFonts w:cs="Times New Roman"/>
          <w:sz w:val="20"/>
        </w:rPr>
        <w:t>4432/C52P4X.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t>[15]  L. Rubini, P. Soundarapandian, and P. Eswaran, "Chronic Kidney Disease," UCI Machine Learning Repository, 2015 (400 instances, 24 features), doi: 10.24432/C5G020.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lastRenderedPageBreak/>
        <w:t>[16]  B. Ramana and N. Venkateswarlu, "ILPD (Indian Liver Patient Dataset)</w:t>
      </w:r>
      <w:r>
        <w:rPr>
          <w:rFonts w:cs="Times New Roman"/>
          <w:sz w:val="20"/>
        </w:rPr>
        <w:t>," UCI Machine Learning Repository, 2012 (583 instances, 10 features), doi: 10.24432/C5D02C.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t>[17]  F. Pedregosa et al., "Scikit-learn: Machine learning in Python," J. Mach. Learn. Res., vol. 12, pp. 2825-2830, 2011.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[18]  L. Breiman, "Random forests," </w:t>
      </w:r>
      <w:r>
        <w:rPr>
          <w:rFonts w:cs="Times New Roman"/>
          <w:sz w:val="20"/>
        </w:rPr>
        <w:t>Mach. Learn., vol. 45, no. 1, pp. 5-32, 2001, doi: 10.1023/A:1010933404324.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t>[19]  C. Cortes and V. Vapnik, "Support-vector networks," Mach. Learn., vol. 20, no. 3, pp. 273-297, 1995, doi: 10.1007/BF00994018.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t>[20]  D. W. Hosmer Jr., S. Lemeshow, and R. X. S</w:t>
      </w:r>
      <w:r>
        <w:rPr>
          <w:rFonts w:cs="Times New Roman"/>
          <w:sz w:val="20"/>
        </w:rPr>
        <w:t>turdivant, Applied Logistic Regression. Hoboken, NJ, USA: Wiley, 2013, doi: 10.1002/9781118548387.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t>[21]  S. M. Lundberg and S.-I. Lee, "A unified approach to interpreting model predictions," in Proc. Adv. Neural Inf. Process. Syst. (NIPS), vol. 30, 2017, a</w:t>
      </w:r>
      <w:r>
        <w:rPr>
          <w:rFonts w:cs="Times New Roman"/>
          <w:sz w:val="20"/>
        </w:rPr>
        <w:t>rXiv:1705.07874.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t>[22]  S. Wachter, B. Mittelstadt, and C. Russell, "Counterfactual explanations without opening the black box: Automated decisions and the GDPR," arXiv:1711.00399, 2017 (Harvard J. Law Technol., 2018).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t>[23]  N. V. Chawla, K. W. Bowyer, L. O</w:t>
      </w:r>
      <w:r>
        <w:rPr>
          <w:rFonts w:cs="Times New Roman"/>
          <w:sz w:val="20"/>
        </w:rPr>
        <w:t>. Hall, and W. P. Kegelmeyer, "SMOTE: Synthetic minority over-sampling technique," J. Artif. Intell. Res., vol. 16, pp. 321-357, 2002, doi: 10.1613/jair.953.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t>[24]  S. Varma and R. Simon, "Bias in error estimation when using cross-validation for model selec</w:t>
      </w:r>
      <w:r>
        <w:rPr>
          <w:rFonts w:cs="Times New Roman"/>
          <w:sz w:val="20"/>
        </w:rPr>
        <w:t>tion," BMC Bioinformatics, vol. 7, Art. no. 91, 2006, doi: 10.1186/1471-2105-7-91.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[25]  D. Chicco and G. Jurman, "The advantages of the Matthews correlation coefficient (MCC) over F1 score and accuracy in binary classification evaluation," BMC Genomics, </w:t>
      </w:r>
      <w:r>
        <w:rPr>
          <w:rFonts w:cs="Times New Roman"/>
          <w:sz w:val="20"/>
        </w:rPr>
        <w:t>vol. 21, Art. no. 6, 2020, doi: 10.1186/s12864-019-6413-7.</w:t>
      </w:r>
    </w:p>
    <w:p w:rsidR="000B47E5" w:rsidRDefault="00A26E14">
      <w:pPr>
        <w:spacing w:after="100" w:line="276" w:lineRule="auto"/>
        <w:ind w:left="648" w:hanging="648"/>
      </w:pPr>
      <w:r>
        <w:rPr>
          <w:rFonts w:cs="Times New Roman"/>
          <w:sz w:val="20"/>
        </w:rPr>
        <w:t>[26]  T. Saito and M. Rehmsmeier, "The precision-recall plot is more informative than the ROC plot when evaluating binary classifiers on imbalanced datasets," PLoS ONE, vol. 10, no. 3, Art. no. e01</w:t>
      </w:r>
      <w:r>
        <w:rPr>
          <w:rFonts w:cs="Times New Roman"/>
          <w:sz w:val="20"/>
        </w:rPr>
        <w:t>18432, 2015, doi: 10.1371/journal.pone.0118432.</w:t>
      </w:r>
    </w:p>
    <w:sectPr w:rsidR="000B47E5" w:rsidSect="00034616">
      <w:headerReference w:type="default" r:id="rId10"/>
      <w:footerReference w:type="default" r:id="rId11"/>
      <w:pgSz w:w="11906" w:h="16838"/>
      <w:pgMar w:top="1224" w:right="1440" w:bottom="122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A26E14">
      <w:pPr>
        <w:spacing w:after="0" w:line="240" w:lineRule="auto"/>
      </w:pPr>
      <w:r>
        <w:separator/>
      </w:r>
    </w:p>
  </w:endnote>
  <w:endnote w:type="continuationSeparator" w:id="0">
    <w:p w:rsidR="00000000" w:rsidRDefault="00A26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47E5" w:rsidRDefault="00A26E14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A26E14">
      <w:pPr>
        <w:spacing w:after="0" w:line="240" w:lineRule="auto"/>
      </w:pPr>
      <w:r>
        <w:separator/>
      </w:r>
    </w:p>
  </w:footnote>
  <w:footnote w:type="continuationSeparator" w:id="0">
    <w:p w:rsidR="00000000" w:rsidRDefault="00A26E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47E5" w:rsidRDefault="00A26E14">
    <w:pPr>
      <w:pStyle w:val="Header"/>
      <w:jc w:val="center"/>
    </w:pPr>
    <w:r>
      <w:rPr>
        <w:rFonts w:cs="Times New Roman"/>
        <w:i/>
        <w:color w:val="555555"/>
        <w:sz w:val="20"/>
      </w:rPr>
      <w:t>Multi-Disease Prediction Using Machine Learning  |  Conclusion, Future Scope and References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7E5"/>
    <w:rsid w:val="0015074B"/>
    <w:rsid w:val="0029639D"/>
    <w:rsid w:val="00326F90"/>
    <w:rsid w:val="00A26E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B3D4AB5-C646-4324-8B05-2C248CC7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8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40" w:line="240" w:lineRule="auto"/>
      <w:jc w:val="left"/>
    </w:pPr>
    <w:rPr>
      <w:sz w:val="22"/>
    </w:rPr>
  </w:style>
  <w:style w:type="paragraph" w:customStyle="1" w:styleId="TOC21">
    <w:name w:val="TOC 21"/>
    <w:basedOn w:val="Normal"/>
    <w:pPr>
      <w:spacing w:after="40" w:line="240" w:lineRule="auto"/>
      <w:ind w:left="360"/>
      <w:jc w:val="left"/>
    </w:pPr>
    <w:rPr>
      <w:sz w:val="22"/>
    </w:rPr>
  </w:style>
  <w:style w:type="paragraph" w:customStyle="1" w:styleId="TableofFigures1">
    <w:name w:val="Table of Figures1"/>
    <w:basedOn w:val="Normal"/>
    <w:pPr>
      <w:spacing w:after="40" w:line="240" w:lineRule="auto"/>
      <w:jc w:val="left"/>
    </w:pPr>
    <w:rPr>
      <w:sz w:val="22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26E14"/>
    <w:pPr>
      <w:spacing w:after="40" w:line="240" w:lineRule="auto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26E14"/>
    <w:pPr>
      <w:spacing w:after="40" w:line="240" w:lineRule="auto"/>
      <w:ind w:left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26E14"/>
    <w:pPr>
      <w:spacing w:after="4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34F55E-26E3-4603-A23F-8E482F907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2510</Words>
  <Characters>13840</Characters>
  <Application>Microsoft Office Word</Application>
  <DocSecurity>0</DocSecurity>
  <Lines>275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2026-10-25T02:54:00Z</dcterms:modified>
  <cp:category/>
</cp:coreProperties>
</file>