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1F3B" w:rsidRDefault="00921F3B">
      <w:pPr>
        <w:spacing w:after="480" w:line="240" w:lineRule="auto"/>
      </w:pPr>
      <w:bookmarkStart w:id="0" w:name="_GoBack"/>
      <w:bookmarkEnd w:id="0"/>
    </w:p>
    <w:p w:rsidR="00921F3B" w:rsidRDefault="00191249">
      <w:pPr>
        <w:jc w:val="center"/>
      </w:pPr>
      <w:r>
        <w:rPr>
          <w:rFonts w:cs="Times New Roman"/>
          <w:b/>
          <w:sz w:val="36"/>
        </w:rPr>
        <w:t>AI-POWERED MEDICAL LAB REPORT ANALYSIS AND HEALTH INSIGHTS PLATFORM</w:t>
      </w:r>
    </w:p>
    <w:p w:rsidR="00921F3B" w:rsidRDefault="00191249">
      <w:pPr>
        <w:spacing w:after="280"/>
        <w:jc w:val="center"/>
      </w:pPr>
      <w:r>
        <w:rPr>
          <w:rFonts w:cs="Times New Roman"/>
          <w:b/>
          <w:sz w:val="28"/>
        </w:rPr>
        <w:t>Conclusion, Future Scope and References</w:t>
      </w:r>
    </w:p>
    <w:p w:rsidR="00921F3B" w:rsidRDefault="00191249">
      <w:pPr>
        <w:spacing w:after="40"/>
        <w:jc w:val="center"/>
      </w:pPr>
      <w:r>
        <w:rPr>
          <w:rFonts w:cs="Times New Roman"/>
        </w:rPr>
        <w:t>Department of Computer Science and Engineering, TKR College of Engineering and Technology (Autonomous)</w:t>
      </w:r>
    </w:p>
    <w:p w:rsidR="00921F3B" w:rsidRDefault="00191249">
      <w:pPr>
        <w:spacing w:after="240"/>
        <w:jc w:val="center"/>
      </w:pPr>
      <w:r>
        <w:rPr>
          <w:rFonts w:cs="Times New Roman"/>
        </w:rPr>
        <w:t xml:space="preserve">Batch A8 (CSE-A)  ·  Academic year </w:t>
      </w:r>
      <w:r>
        <w:rPr>
          <w:rFonts w:cs="Times New Roman"/>
        </w:rPr>
        <w:t>2026-2027</w:t>
      </w:r>
    </w:p>
    <w:p w:rsidR="00921F3B" w:rsidRDefault="00191249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>: Project team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4896"/>
        <w:gridCol w:w="2592"/>
      </w:tblGrid>
      <w:tr w:rsidR="00921F3B">
        <w:trPr>
          <w:cantSplit/>
          <w:tblHeader/>
          <w:jc w:val="center"/>
        </w:trPr>
        <w:tc>
          <w:tcPr>
            <w:tcW w:w="1008" w:type="dxa"/>
            <w:shd w:val="clear" w:color="auto" w:fill="1B2A41"/>
          </w:tcPr>
          <w:p w:rsidR="00921F3B" w:rsidRDefault="00191249">
            <w:pPr>
              <w:keepNext/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S.No.</w:t>
            </w:r>
          </w:p>
        </w:tc>
        <w:tc>
          <w:tcPr>
            <w:tcW w:w="4896" w:type="dxa"/>
            <w:shd w:val="clear" w:color="auto" w:fill="1B2A41"/>
          </w:tcPr>
          <w:p w:rsidR="00921F3B" w:rsidRDefault="00191249">
            <w:pPr>
              <w:keepNext/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Student name</w:t>
            </w:r>
          </w:p>
        </w:tc>
        <w:tc>
          <w:tcPr>
            <w:tcW w:w="2592" w:type="dxa"/>
            <w:shd w:val="clear" w:color="auto" w:fill="1B2A41"/>
          </w:tcPr>
          <w:p w:rsidR="00921F3B" w:rsidRDefault="00191249">
            <w:pPr>
              <w:keepNext/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Roll number</w:t>
            </w:r>
          </w:p>
        </w:tc>
      </w:tr>
      <w:tr w:rsidR="00921F3B">
        <w:trPr>
          <w:cantSplit/>
          <w:jc w:val="center"/>
        </w:trPr>
        <w:tc>
          <w:tcPr>
            <w:tcW w:w="1008" w:type="dxa"/>
          </w:tcPr>
          <w:p w:rsidR="00921F3B" w:rsidRDefault="00191249">
            <w:pPr>
              <w:keepNext/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4896" w:type="dxa"/>
          </w:tcPr>
          <w:p w:rsidR="00921F3B" w:rsidRDefault="00191249">
            <w:pPr>
              <w:keepNext/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BANOTH SWAPNA</w:t>
            </w:r>
          </w:p>
        </w:tc>
        <w:tc>
          <w:tcPr>
            <w:tcW w:w="2592" w:type="dxa"/>
          </w:tcPr>
          <w:p w:rsidR="00921F3B" w:rsidRDefault="00191249">
            <w:pPr>
              <w:keepNext/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23K91A0528</w:t>
            </w:r>
          </w:p>
        </w:tc>
      </w:tr>
      <w:tr w:rsidR="00921F3B">
        <w:trPr>
          <w:cantSplit/>
          <w:jc w:val="center"/>
        </w:trPr>
        <w:tc>
          <w:tcPr>
            <w:tcW w:w="1008" w:type="dxa"/>
          </w:tcPr>
          <w:p w:rsidR="00921F3B" w:rsidRDefault="00191249">
            <w:pPr>
              <w:keepNext/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4896" w:type="dxa"/>
          </w:tcPr>
          <w:p w:rsidR="00921F3B" w:rsidRDefault="00191249">
            <w:pPr>
              <w:keepNext/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BEKKAM VARSHITHA</w:t>
            </w:r>
          </w:p>
        </w:tc>
        <w:tc>
          <w:tcPr>
            <w:tcW w:w="2592" w:type="dxa"/>
          </w:tcPr>
          <w:p w:rsidR="00921F3B" w:rsidRDefault="00191249">
            <w:pPr>
              <w:keepNext/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23K91A0535</w:t>
            </w:r>
          </w:p>
        </w:tc>
      </w:tr>
      <w:tr w:rsidR="00921F3B">
        <w:trPr>
          <w:cantSplit/>
          <w:jc w:val="center"/>
        </w:trPr>
        <w:tc>
          <w:tcPr>
            <w:tcW w:w="1008" w:type="dxa"/>
          </w:tcPr>
          <w:p w:rsidR="00921F3B" w:rsidRDefault="00191249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4896" w:type="dxa"/>
          </w:tcPr>
          <w:p w:rsidR="00921F3B" w:rsidRDefault="00191249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A NAVADEEP REDDY</w:t>
            </w:r>
          </w:p>
        </w:tc>
        <w:tc>
          <w:tcPr>
            <w:tcW w:w="2592" w:type="dxa"/>
          </w:tcPr>
          <w:p w:rsidR="00921F3B" w:rsidRDefault="00191249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23K91A0502</w:t>
            </w:r>
          </w:p>
        </w:tc>
      </w:tr>
      <w:tr w:rsidR="00921F3B">
        <w:trPr>
          <w:cantSplit/>
          <w:jc w:val="center"/>
        </w:trPr>
        <w:tc>
          <w:tcPr>
            <w:tcW w:w="1008" w:type="dxa"/>
          </w:tcPr>
          <w:p w:rsidR="00921F3B" w:rsidRDefault="00191249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4896" w:type="dxa"/>
          </w:tcPr>
          <w:p w:rsidR="00921F3B" w:rsidRDefault="00191249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BUDIGAM MANOJ</w:t>
            </w:r>
          </w:p>
        </w:tc>
        <w:tc>
          <w:tcPr>
            <w:tcW w:w="2592" w:type="dxa"/>
          </w:tcPr>
          <w:p w:rsidR="00921F3B" w:rsidRDefault="00191249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23K91A0546</w:t>
            </w:r>
          </w:p>
        </w:tc>
      </w:tr>
    </w:tbl>
    <w:p w:rsidR="00921F3B" w:rsidRDefault="00921F3B">
      <w:pPr>
        <w:spacing w:line="192" w:lineRule="auto"/>
      </w:pPr>
    </w:p>
    <w:p w:rsidR="00921F3B" w:rsidRDefault="00191249">
      <w:pPr>
        <w:spacing w:after="200"/>
        <w:jc w:val="center"/>
      </w:pPr>
      <w:r>
        <w:rPr>
          <w:rFonts w:cs="Times New Roman"/>
          <w:b/>
        </w:rPr>
        <w:t>Project guide:</w:t>
      </w:r>
      <w:r>
        <w:rPr>
          <w:rFonts w:cs="Times New Roman"/>
        </w:rPr>
        <w:t xml:space="preserve"> L.G REDDY</w:t>
      </w:r>
    </w:p>
    <w:p w:rsidR="00921F3B" w:rsidRDefault="00191249">
      <w:r>
        <w:rPr>
          <w:rFonts w:cs="Times New Roman"/>
          <w:i/>
          <w:sz w:val="21"/>
        </w:rPr>
        <w:t xml:space="preserve">Chapter and section </w:t>
      </w:r>
      <w:r>
        <w:rPr>
          <w:rFonts w:cs="Times New Roman"/>
          <w:i/>
          <w:sz w:val="21"/>
        </w:rPr>
        <w:t>numbers quoted in the text (for example Section 6.6 or Chapter 8) refer to the full project report, 17.Final Document. Figures and tables in this document are numbered from 1.</w:t>
      </w:r>
    </w:p>
    <w:p w:rsidR="00921F3B" w:rsidRDefault="00191249">
      <w:pPr>
        <w:pStyle w:val="Heading1"/>
      </w:pPr>
      <w:r>
        <w:t>CHAPTER 9: CONCLUSION</w:t>
      </w:r>
    </w:p>
    <w:p w:rsidR="00921F3B" w:rsidRDefault="00191249">
      <w:pPr>
        <w:pStyle w:val="Heading2"/>
      </w:pPr>
      <w:r>
        <w:t>9.1 Summary</w:t>
      </w:r>
    </w:p>
    <w:p w:rsidR="00921F3B" w:rsidRDefault="00191249">
      <w:r>
        <w:rPr>
          <w:rFonts w:cs="Times New Roman"/>
        </w:rPr>
        <w:t>The project set out to turn a laboratory repor</w:t>
      </w:r>
      <w:r>
        <w:rPr>
          <w:rFonts w:cs="Times New Roman"/>
        </w:rPr>
        <w:t>t into something a patient can read. It delivers a working system in which an uploaded PDF or image is read, its test rows are extracted, each result is compared with the reference range printed beside it, abnormal results receive a plain-language and non-</w:t>
      </w:r>
      <w:r>
        <w:rPr>
          <w:rFonts w:cs="Times New Roman"/>
        </w:rPr>
        <w:t>diagnostic explanation, and everything is stored so that values can be followed over time and two reports compared. A FastAPI service, a React interface, the original Streamlit application, an automated test suite and a reproducible evaluation harness comp</w:t>
      </w:r>
      <w:r>
        <w:rPr>
          <w:rFonts w:cs="Times New Roman"/>
        </w:rPr>
        <w:t>lete the work.</w:t>
      </w:r>
    </w:p>
    <w:p w:rsidR="00921F3B" w:rsidRDefault="00191249">
      <w:pPr>
        <w:pStyle w:val="Heading2"/>
      </w:pPr>
      <w:r>
        <w:t>9.2 Objectives achieved</w:t>
      </w:r>
    </w:p>
    <w:p w:rsidR="00921F3B" w:rsidRDefault="00191249">
      <w:r>
        <w:rPr>
          <w:rFonts w:cs="Times New Roman"/>
        </w:rPr>
        <w:t xml:space="preserve">Two of the six objectives were fully met: flagging abnormal results (objective 3) and tracking parameters across reports (objective 5). Four were met in part. Text extraction works for digital PDFs, but the </w:t>
      </w:r>
      <w:r>
        <w:rPr>
          <w:rFonts w:cs="Times New Roman"/>
        </w:rPr>
        <w:t xml:space="preserve">scanned-image path could not be run (objective 1). Field extraction is a regex-and-TF-IDF parser, not the trained NER model the abstract names (objective 2). Explanations are curated rules for 17 tests without retrieval or citations </w:t>
      </w:r>
      <w:r>
        <w:rPr>
          <w:rFonts w:cs="Times New Roman"/>
        </w:rPr>
        <w:lastRenderedPageBreak/>
        <w:t>(objective 4). The dash</w:t>
      </w:r>
      <w:r>
        <w:rPr>
          <w:rFonts w:cs="Times New Roman"/>
        </w:rPr>
        <w:t>board exists, but extraction accuracy was measured on generated reports, not on manually labelled real ones (objective 6). Section 8.11 gives the evidence.</w:t>
      </w:r>
    </w:p>
    <w:p w:rsidR="00921F3B" w:rsidRDefault="00191249">
      <w:pPr>
        <w:pStyle w:val="Heading2"/>
      </w:pPr>
      <w:r>
        <w:t>9.3 Key findings</w:t>
      </w:r>
    </w:p>
    <w:p w:rsidR="00921F3B" w:rsidRDefault="00191249">
      <w:pPr>
        <w:spacing w:after="60"/>
        <w:ind w:left="720" w:hanging="360"/>
      </w:pPr>
      <w:r>
        <w:rPr>
          <w:rFonts w:cs="Times New Roman"/>
        </w:rPr>
        <w:t>•  On single-line layouts the parser extracts rows well (F1 about 0.98) and, once a</w:t>
      </w:r>
      <w:r>
        <w:rPr>
          <w:rFonts w:cs="Times New Roman"/>
        </w:rPr>
        <w:t xml:space="preserve"> row is read, the range and status are almost always right (99.9% and 99.9%); over all eight layouts of the generated corpus the F1 is 0.916.</w:t>
      </w:r>
    </w:p>
    <w:p w:rsidR="00921F3B" w:rsidRDefault="00191249">
      <w:pPr>
        <w:spacing w:after="60"/>
        <w:ind w:left="720" w:hanging="360"/>
      </w:pPr>
      <w:r>
        <w:rPr>
          <w:rFonts w:cs="Times New Roman"/>
        </w:rPr>
        <w:t xml:space="preserve">•  The weak points are specific and fixable: cell-per-line tables (recall 0), a hyphenated date read as a test, a </w:t>
      </w:r>
      <w:r>
        <w:rPr>
          <w:rFonts w:cs="Times New Roman"/>
        </w:rPr>
        <w:t>short unit list, and names outside the dictionary that are renamed.</w:t>
      </w:r>
    </w:p>
    <w:p w:rsidR="00921F3B" w:rsidRDefault="00191249">
      <w:pPr>
        <w:spacing w:after="60"/>
        <w:ind w:left="720" w:hanging="360"/>
      </w:pPr>
      <w:r>
        <w:rPr>
          <w:rFonts w:cs="Times New Roman"/>
        </w:rPr>
        <w:t xml:space="preserve">•  A plain </w:t>
      </w:r>
      <w:r>
        <w:rPr>
          <w:rFonts w:ascii="Consolas" w:eastAsia="Consolas" w:hAnsi="Consolas" w:cs="Consolas"/>
          <w:sz w:val="21"/>
        </w:rPr>
        <w:t>difflib</w:t>
      </w:r>
      <w:r>
        <w:rPr>
          <w:rFonts w:cs="Times New Roman"/>
        </w:rPr>
        <w:t xml:space="preserve"> matcher beat the shipped TF-IDF matcher on noisy names (0.981 against 0.890 at 10% noise), so the choice of TF-IDF is not justified by accuracy.</w:t>
      </w:r>
    </w:p>
    <w:p w:rsidR="00921F3B" w:rsidRDefault="00191249">
      <w:pPr>
        <w:spacing w:after="60"/>
        <w:ind w:left="720" w:hanging="360"/>
      </w:pPr>
      <w:r>
        <w:rPr>
          <w:rFonts w:cs="Times New Roman"/>
        </w:rPr>
        <w:t>•  The pipeline is fast:</w:t>
      </w:r>
      <w:r>
        <w:rPr>
          <w:rFonts w:cs="Times New Roman"/>
        </w:rPr>
        <w:t xml:space="preserve"> a median of 53 ms per text-layer report and about 210 ms for an HTTP upload, far below the 10-second target, although the target was set for scanned input.</w:t>
      </w:r>
    </w:p>
    <w:p w:rsidR="00921F3B" w:rsidRDefault="00191249">
      <w:pPr>
        <w:spacing w:after="60"/>
        <w:ind w:left="720" w:hanging="360"/>
      </w:pPr>
      <w:r>
        <w:rPr>
          <w:rFonts w:cs="Times New Roman"/>
        </w:rPr>
        <w:t>•  The system is verified by 36 pytest cases and 31 smoke checks (API and browser), all passing.</w:t>
      </w:r>
    </w:p>
    <w:p w:rsidR="00921F3B" w:rsidRDefault="00191249">
      <w:pPr>
        <w:pStyle w:val="Heading2"/>
      </w:pPr>
      <w:r>
        <w:t>9.</w:t>
      </w:r>
      <w:r>
        <w:t>4 Practical applications</w:t>
      </w:r>
    </w:p>
    <w:p w:rsidR="00921F3B" w:rsidRDefault="00191249">
      <w:pPr>
        <w:spacing w:after="60"/>
        <w:ind w:left="720" w:hanging="360"/>
      </w:pPr>
      <w:r>
        <w:rPr>
          <w:rFonts w:cs="Times New Roman"/>
        </w:rPr>
        <w:t>•  A patient-facing reader that explains in everyday words what a report lists and which values lie outside their range, with a clear disclaimer.</w:t>
      </w:r>
    </w:p>
    <w:p w:rsidR="00921F3B" w:rsidRDefault="00191249">
      <w:pPr>
        <w:spacing w:after="60"/>
        <w:ind w:left="720" w:hanging="360"/>
      </w:pPr>
      <w:r>
        <w:rPr>
          <w:rFonts w:cs="Times New Roman"/>
        </w:rPr>
        <w:t>•  A library that lets a person keep several reports together and see a test move ove</w:t>
      </w:r>
      <w:r>
        <w:rPr>
          <w:rFonts w:cs="Times New Roman"/>
        </w:rPr>
        <w:t>r months, as the sample data does for haemoglobin and LDL cholesterol.</w:t>
      </w:r>
    </w:p>
    <w:p w:rsidR="00921F3B" w:rsidRDefault="00191249">
      <w:pPr>
        <w:spacing w:after="60"/>
        <w:ind w:left="720" w:hanging="360"/>
      </w:pPr>
      <w:r>
        <w:rPr>
          <w:rFonts w:cs="Times New Roman"/>
        </w:rPr>
        <w:t>•  A teaching and research scaffold for report digitisation: the generated corpus, the scoring script and the failure analysis can be reused to test a better parser.</w:t>
      </w:r>
    </w:p>
    <w:p w:rsidR="00921F3B" w:rsidRDefault="00191249">
      <w:pPr>
        <w:pStyle w:val="Heading2"/>
      </w:pPr>
      <w:r>
        <w:t>9.5 Known limitatio</w:t>
      </w:r>
      <w:r>
        <w:t>ns</w:t>
      </w:r>
    </w:p>
    <w:p w:rsidR="00921F3B" w:rsidRDefault="00191249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Layout dependence.</w:t>
      </w:r>
      <w:r>
        <w:rPr>
          <w:rFonts w:cs="Times New Roman"/>
        </w:rPr>
        <w:t xml:space="preserve"> On reports where each table cell is a separate text line, the parser extracted no rows at all (recall 0.000 on 210 rows); a date line such as </w:t>
      </w:r>
      <w:r>
        <w:rPr>
          <w:rFonts w:ascii="Consolas" w:eastAsia="Consolas" w:hAnsi="Consolas" w:cs="Consolas"/>
          <w:sz w:val="21"/>
        </w:rPr>
        <w:t>12-04-2026</w:t>
      </w:r>
      <w:r>
        <w:rPr>
          <w:rFonts w:cs="Times New Roman"/>
        </w:rPr>
        <w:t xml:space="preserve"> was read as a test named "Sample Collected" in every one of the 56 corpus repo</w:t>
      </w:r>
      <w:r>
        <w:rPr>
          <w:rFonts w:cs="Times New Roman"/>
        </w:rPr>
        <w:t>rts that print the date with hyphens.</w:t>
      </w:r>
    </w:p>
    <w:p w:rsidR="00921F3B" w:rsidRDefault="00191249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Unit gaps.</w:t>
      </w:r>
      <w:r>
        <w:rPr>
          <w:rFonts w:cs="Times New Roman"/>
        </w:rPr>
        <w:t xml:space="preserve"> Unit accuracy is 87.1% overall and 57.6% when a flag letter sits between the value and the unit; units such as mg/L, umol/L, ng/dL and uIU/mL are not in the parser's unit list.</w:t>
      </w:r>
    </w:p>
    <w:p w:rsidR="00921F3B" w:rsidRDefault="00191249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Name matching.</w:t>
      </w:r>
      <w:r>
        <w:rPr>
          <w:rFonts w:cs="Times New Roman"/>
        </w:rPr>
        <w:t xml:space="preserve"> The TF-ID</w:t>
      </w:r>
      <w:r>
        <w:rPr>
          <w:rFonts w:cs="Times New Roman"/>
        </w:rPr>
        <w:t xml:space="preserve">F matcher loses accuracy under character noise (89.0% at 10% noise against 98.1% for a plain </w:t>
      </w:r>
      <w:r>
        <w:rPr>
          <w:rFonts w:ascii="Consolas" w:eastAsia="Consolas" w:hAnsi="Consolas" w:cs="Consolas"/>
          <w:sz w:val="21"/>
        </w:rPr>
        <w:t>difflib</w:t>
      </w:r>
      <w:r>
        <w:rPr>
          <w:rFonts w:cs="Times New Roman"/>
        </w:rPr>
        <w:t xml:space="preserve"> baseline) and renames some unseen tests, for example Sodium Bicarbonate to Sodium.</w:t>
      </w:r>
    </w:p>
    <w:p w:rsidR="00921F3B" w:rsidRDefault="00191249">
      <w:pPr>
        <w:spacing w:after="60"/>
        <w:ind w:left="720" w:hanging="360"/>
      </w:pPr>
      <w:r>
        <w:rPr>
          <w:rFonts w:cs="Times New Roman"/>
        </w:rPr>
        <w:lastRenderedPageBreak/>
        <w:t xml:space="preserve">•  </w:t>
      </w:r>
      <w:r>
        <w:rPr>
          <w:rFonts w:cs="Times New Roman"/>
          <w:b/>
        </w:rPr>
        <w:t>Thin explanation coverage.</w:t>
      </w:r>
      <w:r>
        <w:rPr>
          <w:rFonts w:cs="Times New Roman"/>
        </w:rPr>
        <w:t xml:space="preserve"> Only 17 of the 55 dictionary tests (30.9%)</w:t>
      </w:r>
      <w:r>
        <w:rPr>
          <w:rFonts w:cs="Times New Roman"/>
        </w:rPr>
        <w:t xml:space="preserve"> have test-specific explanation text; the rest receive a generic paragraph. The explanations are rule-based, with no retrieval and no citations.</w:t>
      </w:r>
    </w:p>
    <w:p w:rsidR="00921F3B" w:rsidRDefault="00191249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Evaluation data.</w:t>
      </w:r>
      <w:r>
        <w:rPr>
          <w:rFonts w:cs="Times New Roman"/>
        </w:rPr>
        <w:t xml:space="preserve"> All accuracy figures come from 120 generated reports (1,680 rows) with generated ground tru</w:t>
      </w:r>
      <w:r>
        <w:rPr>
          <w:rFonts w:cs="Times New Roman"/>
        </w:rPr>
        <w:t>th, not from real, manually labelled reports. Scanned-image OCR accuracy and latency were not measured because Tesseract was not installed on the test machine, and the optional LLM rewrite was not exercised.</w:t>
      </w:r>
    </w:p>
    <w:p w:rsidR="00921F3B" w:rsidRDefault="00191249">
      <w:r>
        <w:rPr>
          <w:rFonts w:cs="Times New Roman"/>
        </w:rPr>
        <w:t>The figures below summarise the measurements beh</w:t>
      </w:r>
      <w:r>
        <w:rPr>
          <w:rFonts w:cs="Times New Roman"/>
        </w:rPr>
        <w:t>ind the conclusions: the first shows extraction quality for each of the eight report layouts of the generated corpus, the second shows how accurately the test-name matcher recovers names under simulated OCR noise.</w:t>
      </w:r>
    </w:p>
    <w:p w:rsidR="00921F3B" w:rsidRDefault="00191249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>
            <wp:extent cx="5120640" cy="22611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extraction_by_layou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26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F3B" w:rsidRDefault="00191249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 xml:space="preserve">: </w:t>
      </w:r>
      <w:r>
        <w:rPr>
          <w:rFonts w:cs="Times New Roman"/>
        </w:rPr>
        <w:t>Extraction quality by report layout (generated corpus of 120 text-layer PDFs)</w:t>
      </w:r>
    </w:p>
    <w:p w:rsidR="00921F3B" w:rsidRDefault="00191249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>
            <wp:extent cx="4389120" cy="26365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name_noi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636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F3B" w:rsidRDefault="00191249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2</w:t>
      </w:r>
      <w:r>
        <w:rPr>
          <w:rFonts w:cs="Times New Roman"/>
        </w:rPr>
        <w:fldChar w:fldCharType="end"/>
      </w:r>
      <w:r>
        <w:rPr>
          <w:rFonts w:cs="Times New Roman"/>
        </w:rPr>
        <w:t>: Name accuracy of the shipped matcher and two baselines under simulated noise</w:t>
      </w:r>
    </w:p>
    <w:p w:rsidR="00921F3B" w:rsidRDefault="00191249">
      <w:r>
        <w:br w:type="page"/>
      </w:r>
    </w:p>
    <w:p w:rsidR="00921F3B" w:rsidRDefault="00191249">
      <w:pPr>
        <w:pStyle w:val="Heading1"/>
      </w:pPr>
      <w:r>
        <w:lastRenderedPageBreak/>
        <w:t>CHAPTER 10: FUTURE SCOPE</w:t>
      </w:r>
    </w:p>
    <w:p w:rsidR="00921F3B" w:rsidRDefault="00191249">
      <w:pPr>
        <w:pStyle w:val="Heading2"/>
      </w:pPr>
      <w:r>
        <w:t>10.1 Improvements to the extraction</w:t>
      </w:r>
    </w:p>
    <w:p w:rsidR="00921F3B" w:rsidRDefault="00191249">
      <w:pPr>
        <w:spacing w:after="60"/>
        <w:ind w:left="720" w:hanging="360"/>
      </w:pPr>
      <w:r>
        <w:rPr>
          <w:rFonts w:cs="Times New Roman"/>
        </w:rPr>
        <w:t>•</w:t>
      </w:r>
      <w:r>
        <w:rPr>
          <w:rFonts w:cs="Times New Roman"/>
        </w:rPr>
        <w:t xml:space="preserve">  </w:t>
      </w:r>
      <w:r>
        <w:rPr>
          <w:rFonts w:cs="Times New Roman"/>
          <w:b/>
        </w:rPr>
        <w:t>A table-aware parser.</w:t>
      </w:r>
      <w:r>
        <w:rPr>
          <w:rFonts w:cs="Times New Roman"/>
        </w:rPr>
        <w:t xml:space="preserve"> Use word coordinates from the PDF (PyMuPDF can return them) to rebuild rows from cell-per-line tables, closing the 210-row gap measured in Chapter 8.</w:t>
      </w:r>
    </w:p>
    <w:p w:rsidR="00921F3B" w:rsidRDefault="00191249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Reject date rows.</w:t>
      </w:r>
      <w:r>
        <w:rPr>
          <w:rFonts w:cs="Times New Roman"/>
        </w:rPr>
        <w:t xml:space="preserve"> Discard candidate rows whose range holds a year or whose name is a header word, which removes almost every false positive found.</w:t>
      </w:r>
    </w:p>
    <w:p w:rsidR="00921F3B" w:rsidRDefault="00191249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A full unit table</w:t>
      </w:r>
      <w:r>
        <w:rPr>
          <w:rFonts w:cs="Times New Roman"/>
        </w:rPr>
        <w:t xml:space="preserve"> (mg/L, umol/L, ng/dL, uIU/mL and others), and unit detection that tolerates a flag letter between value a</w:t>
      </w:r>
      <w:r>
        <w:rPr>
          <w:rFonts w:cs="Times New Roman"/>
        </w:rPr>
        <w:t>nd unit.</w:t>
      </w:r>
    </w:p>
    <w:p w:rsidR="00921F3B" w:rsidRDefault="00191249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A synonym table and a safer matcher.</w:t>
      </w:r>
      <w:r>
        <w:rPr>
          <w:rFonts w:cs="Times New Roman"/>
        </w:rPr>
        <w:t xml:space="preserve"> Add abbreviations (Hb, TLC, LDL), test a </w:t>
      </w:r>
      <w:r>
        <w:rPr>
          <w:rFonts w:ascii="Consolas" w:eastAsia="Consolas" w:hAnsi="Consolas" w:cs="Consolas"/>
          <w:sz w:val="21"/>
        </w:rPr>
        <w:t>difflib</w:t>
      </w:r>
      <w:r>
        <w:rPr>
          <w:rFonts w:cs="Times New Roman"/>
        </w:rPr>
        <w:t xml:space="preserve"> or learned matcher against the TF-IDF one, and refuse to rename names that merely extend a dictionary name.</w:t>
      </w:r>
    </w:p>
    <w:p w:rsidR="00921F3B" w:rsidRDefault="00191249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Trained entity recognition</w:t>
      </w:r>
      <w:r>
        <w:rPr>
          <w:rFonts w:cs="Times New Roman"/>
        </w:rPr>
        <w:t xml:space="preserve"> [14] and a layout-aw</w:t>
      </w:r>
      <w:r>
        <w:rPr>
          <w:rFonts w:cs="Times New Roman"/>
        </w:rPr>
        <w:t>are OCR engine such as PP-OCR [12] once labelled reports exist, compared with the current parser on the same corpus.</w:t>
      </w:r>
    </w:p>
    <w:p w:rsidR="00921F3B" w:rsidRDefault="00191249">
      <w:pPr>
        <w:pStyle w:val="Heading2"/>
      </w:pPr>
      <w:r>
        <w:t>10.2 Better explanations</w:t>
      </w:r>
    </w:p>
    <w:p w:rsidR="00921F3B" w:rsidRDefault="00191249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Retrieval with citations:</w:t>
      </w:r>
      <w:r>
        <w:rPr>
          <w:rFonts w:cs="Times New Roman"/>
        </w:rPr>
        <w:t xml:space="preserve"> a curated, licensed knowledge base with retrieval [6] so that each explanation names </w:t>
      </w:r>
      <w:r>
        <w:rPr>
          <w:rFonts w:cs="Times New Roman"/>
        </w:rPr>
        <w:t>its source, as the base paper does [1].</w:t>
      </w:r>
    </w:p>
    <w:p w:rsidR="00921F3B" w:rsidRDefault="00191249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More tests covered:</w:t>
      </w:r>
      <w:r>
        <w:rPr>
          <w:rFonts w:cs="Times New Roman"/>
        </w:rPr>
        <w:t xml:space="preserve"> extend the 17-test knowledge base to the whole dictionary, then rate the text with a clinician.</w:t>
      </w:r>
    </w:p>
    <w:p w:rsidR="00921F3B" w:rsidRDefault="00191249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Optional LLM rewrite:</w:t>
      </w:r>
      <w:r>
        <w:rPr>
          <w:rFonts w:cs="Times New Roman"/>
        </w:rPr>
        <w:t xml:space="preserve"> test it with an API key for quality, cost and failure behaviour.</w:t>
      </w:r>
    </w:p>
    <w:p w:rsidR="00921F3B" w:rsidRDefault="00191249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Mult</w:t>
      </w:r>
      <w:r>
        <w:rPr>
          <w:rFonts w:cs="Times New Roman"/>
          <w:b/>
        </w:rPr>
        <w:t>ilingual output</w:t>
      </w:r>
      <w:r>
        <w:rPr>
          <w:rFonts w:cs="Times New Roman"/>
        </w:rPr>
        <w:t xml:space="preserve"> for users who read the report in one language and need the explanation in another.</w:t>
      </w:r>
    </w:p>
    <w:p w:rsidR="00921F3B" w:rsidRDefault="00191249">
      <w:pPr>
        <w:pStyle w:val="Heading2"/>
      </w:pPr>
      <w:r>
        <w:t>10.3 Evaluation and deployment</w:t>
      </w:r>
    </w:p>
    <w:p w:rsidR="00921F3B" w:rsidRDefault="00191249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Real, labelled reports.</w:t>
      </w:r>
      <w:r>
        <w:rPr>
          <w:rFonts w:cs="Times New Roman"/>
        </w:rPr>
        <w:t xml:space="preserve"> With consent and de-identification, build a small manually labelled set and repeat the extraction e</w:t>
      </w:r>
      <w:r>
        <w:rPr>
          <w:rFonts w:cs="Times New Roman"/>
        </w:rPr>
        <w:t>xperiment on it; evaluate scanned reports and photographs with Tesseract and with PP-OCR.</w:t>
      </w:r>
    </w:p>
    <w:p w:rsidR="00921F3B" w:rsidRDefault="00191249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Per-user accounts</w:t>
      </w:r>
      <w:r>
        <w:rPr>
          <w:rFonts w:cs="Times New Roman"/>
        </w:rPr>
        <w:t xml:space="preserve"> with registration, row-level separation of data and audit logging, replacing the single demo account.</w:t>
      </w:r>
    </w:p>
    <w:p w:rsidR="00921F3B" w:rsidRDefault="00191249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Deployment:</w:t>
      </w:r>
      <w:r>
        <w:rPr>
          <w:rFonts w:cs="Times New Roman"/>
        </w:rPr>
        <w:t xml:space="preserve"> containers, HTTPS, a server </w:t>
      </w:r>
      <w:r>
        <w:rPr>
          <w:rFonts w:cs="Times New Roman"/>
        </w:rPr>
        <w:t>database in place of SQLite, and monitoring of failed reports and unmatched names.</w:t>
      </w:r>
    </w:p>
    <w:p w:rsidR="00921F3B" w:rsidRDefault="00191249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Load and accessibility testing</w:t>
      </w:r>
      <w:r>
        <w:rPr>
          <w:rFonts w:cs="Times New Roman"/>
        </w:rPr>
        <w:t xml:space="preserve"> with many users and assistive technology.</w:t>
      </w:r>
    </w:p>
    <w:p w:rsidR="00921F3B" w:rsidRDefault="00191249">
      <w:pPr>
        <w:pStyle w:val="Heading2"/>
      </w:pPr>
      <w:r>
        <w:lastRenderedPageBreak/>
        <w:t>10.4 Further research</w:t>
      </w:r>
    </w:p>
    <w:p w:rsidR="00921F3B" w:rsidRDefault="00191249">
      <w:pPr>
        <w:spacing w:after="60"/>
        <w:ind w:left="720" w:hanging="360"/>
      </w:pPr>
      <w:r>
        <w:rPr>
          <w:rFonts w:cs="Times New Roman"/>
        </w:rPr>
        <w:t xml:space="preserve">•  Comparing general vision-language models, as in [4], with the parser on </w:t>
      </w:r>
      <w:r>
        <w:rPr>
          <w:rFonts w:cs="Times New Roman"/>
        </w:rPr>
        <w:t>the same photographed reports.</w:t>
      </w:r>
    </w:p>
    <w:p w:rsidR="00921F3B" w:rsidRDefault="00191249">
      <w:pPr>
        <w:spacing w:after="60"/>
        <w:ind w:left="720" w:hanging="360"/>
      </w:pPr>
      <w:r>
        <w:rPr>
          <w:rFonts w:cs="Times New Roman"/>
        </w:rPr>
        <w:t>•  Turning a report into a short list of follow-up actions, as in [3], with safeguards against unsupported claims.</w:t>
      </w:r>
    </w:p>
    <w:p w:rsidR="00921F3B" w:rsidRDefault="00191249">
      <w:pPr>
        <w:spacing w:after="60"/>
        <w:ind w:left="720" w:hanging="360"/>
      </w:pPr>
      <w:r>
        <w:rPr>
          <w:rFonts w:cs="Times New Roman"/>
        </w:rPr>
        <w:t>•  Trend analysis beyond first-versus-last: slopes, variability and alerts, with the sample date rather than t</w:t>
      </w:r>
      <w:r>
        <w:rPr>
          <w:rFonts w:cs="Times New Roman"/>
        </w:rPr>
        <w:t>he upload date on the time axis.</w:t>
      </w:r>
    </w:p>
    <w:p w:rsidR="00921F3B" w:rsidRDefault="00191249">
      <w:pPr>
        <w:spacing w:after="60"/>
        <w:ind w:left="720" w:hanging="360"/>
      </w:pPr>
      <w:r>
        <w:rPr>
          <w:rFonts w:cs="Times New Roman"/>
        </w:rPr>
        <w:t>•  A study of how readers understand and act on the explanations.</w:t>
      </w:r>
    </w:p>
    <w:p w:rsidR="00921F3B" w:rsidRDefault="00191249">
      <w:r>
        <w:br w:type="page"/>
      </w:r>
    </w:p>
    <w:p w:rsidR="00921F3B" w:rsidRDefault="00191249">
      <w:pPr>
        <w:pStyle w:val="Heading1"/>
      </w:pPr>
      <w:r>
        <w:lastRenderedPageBreak/>
        <w:t>REFERENCES</w:t>
      </w:r>
    </w:p>
    <w:p w:rsidR="00921F3B" w:rsidRDefault="00191249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[1]  A. Karhade, I. Verma, V. Gadaokar, and J. Mahajan, "RAG-based blood test report analysis to reverse metabolic syndrome," Commun. Appl. </w:t>
      </w:r>
      <w:r>
        <w:rPr>
          <w:rFonts w:cs="Times New Roman"/>
          <w:sz w:val="20"/>
        </w:rPr>
        <w:t>Nonlinear Anal., vol. 32, no. 10s, pp. 2771-2779, 2025, doi: 10.52783/cana.v32.5718.</w:t>
      </w:r>
    </w:p>
    <w:p w:rsidR="00921F3B" w:rsidRDefault="00191249">
      <w:pPr>
        <w:spacing w:after="100" w:line="276" w:lineRule="auto"/>
        <w:ind w:left="648" w:hanging="648"/>
      </w:pPr>
      <w:r>
        <w:rPr>
          <w:rFonts w:cs="Times New Roman"/>
          <w:sz w:val="20"/>
        </w:rPr>
        <w:t>[2]  X. Ren, D. Dou, X. He, F. Cui, and J. Zhao, "A serialization method for digitizing the image-based medical laboratory report," Digital Health, 2025, doi: 10.1177/2055</w:t>
      </w:r>
      <w:r>
        <w:rPr>
          <w:rFonts w:cs="Times New Roman"/>
          <w:sz w:val="20"/>
        </w:rPr>
        <w:t>2076251334431.</w:t>
      </w:r>
    </w:p>
    <w:p w:rsidR="00921F3B" w:rsidRDefault="00191249">
      <w:pPr>
        <w:spacing w:after="100" w:line="276" w:lineRule="auto"/>
        <w:ind w:left="648" w:hanging="648"/>
      </w:pPr>
      <w:r>
        <w:rPr>
          <w:rFonts w:cs="Times New Roman"/>
          <w:sz w:val="20"/>
        </w:rPr>
        <w:t>[3]  S. Xiang, S. Chen, K. Q. Lin, J. Yu, Y. Sun, P. Torr, and A. Atapour-Abarghouei, "Checkup2Action: A multimodal clinical check-up report dataset for patient-oriented action card generation," arXiv:2605.11533, 2026.</w:t>
      </w:r>
    </w:p>
    <w:p w:rsidR="00921F3B" w:rsidRDefault="00191249">
      <w:pPr>
        <w:spacing w:after="100" w:line="276" w:lineRule="auto"/>
        <w:ind w:left="648" w:hanging="648"/>
      </w:pPr>
      <w:r>
        <w:rPr>
          <w:rFonts w:cs="Times New Roman"/>
          <w:sz w:val="20"/>
        </w:rPr>
        <w:t>[4]  N. Bakhsheshi and</w:t>
      </w:r>
      <w:r>
        <w:rPr>
          <w:rFonts w:cs="Times New Roman"/>
          <w:sz w:val="20"/>
        </w:rPr>
        <w:t xml:space="preserve"> H. Beigy, "Analysis of blood report images using general-purpose vision-language models," arXiv:2509.06033, 2025.</w:t>
      </w:r>
    </w:p>
    <w:p w:rsidR="00921F3B" w:rsidRDefault="00191249">
      <w:pPr>
        <w:spacing w:after="100" w:line="276" w:lineRule="auto"/>
        <w:ind w:left="648" w:hanging="648"/>
      </w:pPr>
      <w:r>
        <w:rPr>
          <w:rFonts w:cs="Times New Roman"/>
          <w:sz w:val="20"/>
        </w:rPr>
        <w:t>[5]  V.-T. Nguyen, H.-D. Pham, T.-H. To, C.-T. H. Do, T.-T.-T. Dong, V.-T. D. Le, and V.-P. Hoang, "Medalyze: Lightweight medical report summ</w:t>
      </w:r>
      <w:r>
        <w:rPr>
          <w:rFonts w:cs="Times New Roman"/>
          <w:sz w:val="20"/>
        </w:rPr>
        <w:t>arization application using FLAN-T5-Large," arXiv:2505.17059, 2025.</w:t>
      </w:r>
    </w:p>
    <w:p w:rsidR="00921F3B" w:rsidRDefault="00191249">
      <w:pPr>
        <w:spacing w:after="100" w:line="276" w:lineRule="auto"/>
        <w:ind w:left="648" w:hanging="648"/>
      </w:pPr>
      <w:r>
        <w:rPr>
          <w:rFonts w:cs="Times New Roman"/>
          <w:sz w:val="20"/>
        </w:rPr>
        <w:t>[6]  P. Lewis et al., "Retrieval-augmented generation for knowledge-intensive NLP tasks," in Advances in Neural Information Processing Systems, vol. 33, 2020, pp. 9459-9474.</w:t>
      </w:r>
    </w:p>
    <w:p w:rsidR="00921F3B" w:rsidRDefault="00191249">
      <w:pPr>
        <w:spacing w:after="100" w:line="276" w:lineRule="auto"/>
        <w:ind w:left="648" w:hanging="648"/>
      </w:pPr>
      <w:r>
        <w:rPr>
          <w:rFonts w:cs="Times New Roman"/>
          <w:sz w:val="20"/>
        </w:rPr>
        <w:t>[7]  M. Salvag</w:t>
      </w:r>
      <w:r>
        <w:rPr>
          <w:rFonts w:cs="Times New Roman"/>
          <w:sz w:val="20"/>
        </w:rPr>
        <w:t>no, F. S. Taccone, and A. G. Gerli, "Evaluating the feasibility of ChatGPT in healthcare: An analysis of multiple clinical and research scenarios," J. Med. Syst., vol. 47, no. 1, p. 33, 2023.</w:t>
      </w:r>
    </w:p>
    <w:p w:rsidR="00921F3B" w:rsidRDefault="00191249">
      <w:pPr>
        <w:spacing w:after="100" w:line="276" w:lineRule="auto"/>
        <w:ind w:left="648" w:hanging="648"/>
      </w:pPr>
      <w:r>
        <w:rPr>
          <w:rFonts w:cs="Times New Roman"/>
          <w:sz w:val="20"/>
        </w:rPr>
        <w:t>[8]  V. X. Liu, C. A. Sinsky, S. Lin et al., "AI-generated draft</w:t>
      </w:r>
      <w:r>
        <w:rPr>
          <w:rFonts w:cs="Times New Roman"/>
          <w:sz w:val="20"/>
        </w:rPr>
        <w:t xml:space="preserve"> replies integrated into health records and physicians' electronic communication," JAMA Netw. Open, vol. 7, no. 3, p. e2417615, 2024.</w:t>
      </w:r>
    </w:p>
    <w:p w:rsidR="00921F3B" w:rsidRDefault="00191249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[9]  Y. Shokrollahi, S. Yarmohammadtoosky, M. M. Nikahd et al., "A comprehensive review of generative AI in healthcare," </w:t>
      </w:r>
      <w:r>
        <w:rPr>
          <w:rFonts w:cs="Times New Roman"/>
          <w:sz w:val="20"/>
        </w:rPr>
        <w:t>arXiv:2310.00795, 2023.</w:t>
      </w:r>
    </w:p>
    <w:p w:rsidR="00921F3B" w:rsidRDefault="00191249">
      <w:pPr>
        <w:spacing w:after="100" w:line="276" w:lineRule="auto"/>
        <w:ind w:left="648" w:hanging="648"/>
      </w:pPr>
      <w:r>
        <w:rPr>
          <w:rFonts w:cs="Times New Roman"/>
          <w:sz w:val="20"/>
        </w:rPr>
        <w:t>[10]  H.-L. Hsu, C.-T. Dao, L. Wang et al., "MEDPLAN: A two-stage RAG-based system for personalized medical plan generation," arXiv:2503.17900, 2025.</w:t>
      </w:r>
    </w:p>
    <w:p w:rsidR="00921F3B" w:rsidRDefault="00191249">
      <w:pPr>
        <w:spacing w:after="100" w:line="276" w:lineRule="auto"/>
        <w:ind w:left="648" w:hanging="648"/>
      </w:pPr>
      <w:r>
        <w:rPr>
          <w:rFonts w:cs="Times New Roman"/>
          <w:sz w:val="20"/>
        </w:rPr>
        <w:t>[11]  I. Kataria, R. Chadha, and R. Pathak, "Dietary and lifestyle modification in</w:t>
      </w:r>
      <w:r>
        <w:rPr>
          <w:rFonts w:cs="Times New Roman"/>
          <w:sz w:val="20"/>
        </w:rPr>
        <w:t xml:space="preserve"> metabolic syndrome: A review of randomized control trials in different population groups," Rev. Health Care, vol. 6, no. 3, pp. 97-103, 2015.</w:t>
      </w:r>
    </w:p>
    <w:p w:rsidR="00921F3B" w:rsidRDefault="00191249">
      <w:pPr>
        <w:spacing w:after="100" w:line="276" w:lineRule="auto"/>
        <w:ind w:left="648" w:hanging="648"/>
      </w:pPr>
      <w:r>
        <w:rPr>
          <w:rFonts w:cs="Times New Roman"/>
          <w:sz w:val="20"/>
        </w:rPr>
        <w:t>[12]  Y. Du, C. Li, R. Guo, X. Yin, W. Liu, J. Zhou, Y. Bai, Z. Yu, Y. Yang, Q. Dang, and H. Wang, "PP-OCR: A pra</w:t>
      </w:r>
      <w:r>
        <w:rPr>
          <w:rFonts w:cs="Times New Roman"/>
          <w:sz w:val="20"/>
        </w:rPr>
        <w:t>ctical ultra lightweight OCR system," arXiv:2009.09941, 2020.</w:t>
      </w:r>
    </w:p>
    <w:p w:rsidR="00921F3B" w:rsidRDefault="00191249">
      <w:pPr>
        <w:spacing w:after="100" w:line="276" w:lineRule="auto"/>
        <w:ind w:left="648" w:hanging="648"/>
      </w:pPr>
      <w:r>
        <w:rPr>
          <w:rFonts w:cs="Times New Roman"/>
          <w:sz w:val="20"/>
        </w:rPr>
        <w:t>[13]  R. Smith, "An overview of the Tesseract OCR engine," in Proc. 9th Int. Conf. Document Analysis and Recognition (ICDAR), 2007, pp. 629-633.</w:t>
      </w:r>
    </w:p>
    <w:p w:rsidR="00921F3B" w:rsidRDefault="00191249">
      <w:pPr>
        <w:spacing w:after="100" w:line="276" w:lineRule="auto"/>
        <w:ind w:left="648" w:hanging="648"/>
      </w:pPr>
      <w:r>
        <w:rPr>
          <w:rFonts w:cs="Times New Roman"/>
          <w:sz w:val="20"/>
        </w:rPr>
        <w:t>[14]  J. Lafferty, A. McCallum, and F. Pereira, "</w:t>
      </w:r>
      <w:r>
        <w:rPr>
          <w:rFonts w:cs="Times New Roman"/>
          <w:sz w:val="20"/>
        </w:rPr>
        <w:t>Conditional random fields: Probabilistic models for segmenting and labeling sequence data," in Proc. 18th Int. Conf. Machine Learning (ICML), 2001, pp. 282-289.</w:t>
      </w:r>
    </w:p>
    <w:p w:rsidR="00921F3B" w:rsidRDefault="00191249">
      <w:pPr>
        <w:spacing w:after="100" w:line="276" w:lineRule="auto"/>
        <w:ind w:left="648" w:hanging="648"/>
      </w:pPr>
      <w:r>
        <w:rPr>
          <w:rFonts w:cs="Times New Roman"/>
          <w:sz w:val="20"/>
        </w:rPr>
        <w:t>[15]  G. Salton and C. Buckley, "Term-weighting approaches in automatic text retrieval," Inf. P</w:t>
      </w:r>
      <w:r>
        <w:rPr>
          <w:rFonts w:cs="Times New Roman"/>
          <w:sz w:val="20"/>
        </w:rPr>
        <w:t>rocess. Manag., vol. 24, no. 5, pp. 513-523, 1988.</w:t>
      </w:r>
    </w:p>
    <w:p w:rsidR="00921F3B" w:rsidRDefault="00191249">
      <w:pPr>
        <w:spacing w:after="100" w:line="276" w:lineRule="auto"/>
        <w:ind w:left="648" w:hanging="648"/>
      </w:pPr>
      <w:r>
        <w:rPr>
          <w:rFonts w:cs="Times New Roman"/>
          <w:sz w:val="20"/>
        </w:rPr>
        <w:t>[16]  F. Pedregosa et al., "Scikit-learn: Machine learning in Python," J. Mach. Learn. Res., vol. 12, pp. 2825-2830, 2011.</w:t>
      </w:r>
    </w:p>
    <w:p w:rsidR="00921F3B" w:rsidRDefault="00191249">
      <w:pPr>
        <w:spacing w:after="100" w:line="276" w:lineRule="auto"/>
        <w:ind w:left="648" w:hanging="648"/>
      </w:pPr>
      <w:r>
        <w:rPr>
          <w:rFonts w:cs="Times New Roman"/>
          <w:sz w:val="20"/>
        </w:rPr>
        <w:t>[17]  G. Bradski, "The OpenCV library," Dr. Dobb's Journal of Software Tools, 2000</w:t>
      </w:r>
      <w:r>
        <w:rPr>
          <w:rFonts w:cs="Times New Roman"/>
          <w:sz w:val="20"/>
        </w:rPr>
        <w:t>.</w:t>
      </w:r>
    </w:p>
    <w:p w:rsidR="00921F3B" w:rsidRDefault="00191249">
      <w:pPr>
        <w:spacing w:after="100" w:line="276" w:lineRule="auto"/>
        <w:ind w:left="648" w:hanging="648"/>
      </w:pPr>
      <w:r>
        <w:rPr>
          <w:rFonts w:cs="Times New Roman"/>
          <w:sz w:val="20"/>
        </w:rPr>
        <w:t>[18]  N. Reimers and I. Gurevych, "Sentence-BERT: Sentence embeddings using Siamese BERT-networks," in Proc. EMNLP-IJCNLP, 2019, pp. 3982-3992.</w:t>
      </w:r>
    </w:p>
    <w:p w:rsidR="00921F3B" w:rsidRDefault="00191249">
      <w:pPr>
        <w:spacing w:after="100" w:line="276" w:lineRule="auto"/>
        <w:ind w:left="648" w:hanging="648"/>
      </w:pPr>
      <w:r>
        <w:rPr>
          <w:rFonts w:cs="Times New Roman"/>
          <w:sz w:val="20"/>
        </w:rPr>
        <w:t>[19]  M. Bayer, "SQLAlchemy," in The Architecture of Open Source Applications, vol. 2, A. Brown and G. Wilson,</w:t>
      </w:r>
      <w:r>
        <w:rPr>
          <w:rFonts w:cs="Times New Roman"/>
          <w:sz w:val="20"/>
        </w:rPr>
        <w:t xml:space="preserve"> Eds. 2012.</w:t>
      </w:r>
    </w:p>
    <w:p w:rsidR="00921F3B" w:rsidRDefault="00191249">
      <w:pPr>
        <w:spacing w:after="100" w:line="276" w:lineRule="auto"/>
        <w:ind w:left="648" w:hanging="648"/>
      </w:pPr>
      <w:r>
        <w:rPr>
          <w:rFonts w:cs="Times New Roman"/>
          <w:sz w:val="20"/>
        </w:rPr>
        <w:t>[20]  Artifex Software, "PyMuPDF documentation." [Online]. Available: https://pymupdf.readthedocs.io</w:t>
      </w:r>
    </w:p>
    <w:p w:rsidR="00921F3B" w:rsidRDefault="00191249">
      <w:pPr>
        <w:spacing w:after="100" w:line="276" w:lineRule="auto"/>
        <w:ind w:left="648" w:hanging="648"/>
      </w:pPr>
      <w:r>
        <w:rPr>
          <w:rFonts w:cs="Times New Roman"/>
          <w:sz w:val="20"/>
        </w:rPr>
        <w:lastRenderedPageBreak/>
        <w:t>[21]  S. Ramirez, "FastAPI framework documentation." [Online]. Available: https://fastapi.tiangolo.com</w:t>
      </w:r>
    </w:p>
    <w:p w:rsidR="00921F3B" w:rsidRDefault="00191249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[22]  Recharts contributors, "Recharts: </w:t>
      </w:r>
      <w:r>
        <w:rPr>
          <w:rFonts w:cs="Times New Roman"/>
          <w:sz w:val="20"/>
        </w:rPr>
        <w:t>A composable charting library built on React components." [Online]. Available: https://recharts.org</w:t>
      </w:r>
    </w:p>
    <w:p w:rsidR="00921F3B" w:rsidRDefault="00191249">
      <w:pPr>
        <w:spacing w:after="100" w:line="276" w:lineRule="auto"/>
        <w:ind w:left="648" w:hanging="648"/>
      </w:pPr>
      <w:r>
        <w:rPr>
          <w:rFonts w:cs="Times New Roman"/>
          <w:sz w:val="20"/>
        </w:rPr>
        <w:t>[23]  Anthropic, "Messages API reference." [Online]. Available: https://docs.anthropic.com</w:t>
      </w:r>
    </w:p>
    <w:p w:rsidR="00921F3B" w:rsidRDefault="00191249">
      <w:pPr>
        <w:spacing w:after="100" w:line="276" w:lineRule="auto"/>
        <w:ind w:left="648" w:hanging="648"/>
      </w:pPr>
      <w:r>
        <w:rPr>
          <w:rFonts w:cs="Times New Roman"/>
          <w:sz w:val="20"/>
        </w:rPr>
        <w:t>[24]  M. Honnibal and I. Montani, "spaCy 2: Natural language unde</w:t>
      </w:r>
      <w:r>
        <w:rPr>
          <w:rFonts w:cs="Times New Roman"/>
          <w:sz w:val="20"/>
        </w:rPr>
        <w:t>rstanding with Bloom embeddings, convolutional neural networks and incremental parsing," 2017. [Online]. Available: https://spacy.io</w:t>
      </w:r>
    </w:p>
    <w:p w:rsidR="00921F3B" w:rsidRDefault="00191249">
      <w:pPr>
        <w:spacing w:after="100" w:line="276" w:lineRule="auto"/>
        <w:ind w:left="648" w:hanging="648"/>
      </w:pPr>
      <w:r>
        <w:rPr>
          <w:rFonts w:cs="Times New Roman"/>
          <w:sz w:val="20"/>
        </w:rPr>
        <w:t>[25]  "P-025 Health and safety in medical analysis laboratory," Occupational Medicine, 2024. (Listed in the batch literatur</w:t>
      </w:r>
      <w:r>
        <w:rPr>
          <w:rFonts w:cs="Times New Roman"/>
          <w:sz w:val="20"/>
        </w:rPr>
        <w:t>e survey; authors and details not verified.)</w:t>
      </w:r>
    </w:p>
    <w:p w:rsidR="00921F3B" w:rsidRDefault="00191249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[26]  "Analysis of laboratory data of RT-PCR testing for SARS-CoV-2 in SVRDL at Government Medical College, Nagpur," Himalayan J. Community Med. Public Health, 2024. (Listed in the batch literature survey; </w:t>
      </w:r>
      <w:r>
        <w:rPr>
          <w:rFonts w:cs="Times New Roman"/>
          <w:sz w:val="20"/>
        </w:rPr>
        <w:t>authors and details not verified.)</w:t>
      </w:r>
    </w:p>
    <w:p w:rsidR="00921F3B" w:rsidRDefault="00191249">
      <w:pPr>
        <w:spacing w:after="100" w:line="276" w:lineRule="auto"/>
        <w:ind w:left="648" w:hanging="648"/>
      </w:pPr>
      <w:r>
        <w:rPr>
          <w:rFonts w:cs="Times New Roman"/>
          <w:sz w:val="20"/>
        </w:rPr>
        <w:t>[27]  "Inter-laboratory study for extraction testing of medical devices," J. Pharm. Biomed. Anal., 2025. (Listed in the batch literature survey; authors and details not verified.)</w:t>
      </w:r>
    </w:p>
    <w:sectPr w:rsidR="00921F3B" w:rsidSect="00034616">
      <w:headerReference w:type="default" r:id="rId10"/>
      <w:footerReference w:type="default" r:id="rId11"/>
      <w:pgSz w:w="11906" w:h="16838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191249">
      <w:pPr>
        <w:spacing w:after="0" w:line="240" w:lineRule="auto"/>
      </w:pPr>
      <w:r>
        <w:separator/>
      </w:r>
    </w:p>
  </w:endnote>
  <w:endnote w:type="continuationSeparator" w:id="0">
    <w:p w:rsidR="00000000" w:rsidRDefault="001912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21F3B" w:rsidRDefault="00191249">
    <w:pPr>
      <w:pStyle w:val="Footer"/>
      <w:jc w:val="center"/>
    </w:pPr>
    <w:r>
      <w:rPr>
        <w:rFonts w:cs="Times New Roman"/>
        <w:sz w:val="22"/>
      </w:rPr>
      <w:fldChar w:fldCharType="begin"/>
    </w:r>
    <w:r>
      <w:rPr>
        <w:rFonts w:cs="Times New Roman"/>
        <w:sz w:val="22"/>
      </w:rPr>
      <w:instrText xml:space="preserve"> PAGE </w:instrText>
    </w:r>
    <w:r>
      <w:rPr>
        <w:rFonts w:cs="Times New Roman"/>
        <w:sz w:val="22"/>
      </w:rPr>
      <w:fldChar w:fldCharType="separate"/>
    </w:r>
    <w:r>
      <w:rPr>
        <w:rFonts w:cs="Times New Roman"/>
        <w:sz w:val="22"/>
      </w:rPr>
      <w:t>1</w:t>
    </w:r>
    <w:r>
      <w:rPr>
        <w:rFonts w:cs="Times New Roman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191249">
      <w:pPr>
        <w:spacing w:after="0" w:line="240" w:lineRule="auto"/>
      </w:pPr>
      <w:r>
        <w:separator/>
      </w:r>
    </w:p>
  </w:footnote>
  <w:footnote w:type="continuationSeparator" w:id="0">
    <w:p w:rsidR="00000000" w:rsidRDefault="001912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21F3B" w:rsidRDefault="00191249">
    <w:pPr>
      <w:pStyle w:val="Header"/>
      <w:jc w:val="center"/>
    </w:pPr>
    <w:r>
      <w:rPr>
        <w:rFonts w:cs="Times New Roman"/>
        <w:i/>
        <w:color w:val="555555"/>
        <w:sz w:val="20"/>
      </w:rPr>
      <w:t>AI-Powered Medical Lab Report Analysis and Health Insights Platform  |  Conclusion, Future Scope and References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1249"/>
    <w:rsid w:val="0029639D"/>
    <w:rsid w:val="00326F90"/>
    <w:rsid w:val="00921F3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1A58815-FDED-4E76-B460-2926E62BB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 w:line="312" w:lineRule="auto"/>
      <w:jc w:val="both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jc w:val="left"/>
      <w:outlineLvl w:val="0"/>
    </w:pPr>
    <w:rPr>
      <w:rFonts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line="276" w:lineRule="auto"/>
      <w:jc w:val="left"/>
      <w:outlineLvl w:val="1"/>
    </w:pPr>
    <w:rPr>
      <w:rFonts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76" w:lineRule="auto"/>
      <w:jc w:val="left"/>
      <w:outlineLvl w:val="2"/>
    </w:pPr>
    <w:rPr>
      <w:rFonts w:cs="Times New Roman"/>
      <w:b/>
      <w:bCs/>
      <w:i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76" w:lineRule="auto"/>
      <w:jc w:val="center"/>
    </w:pPr>
    <w:rPr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  <w:pPr>
      <w:spacing w:after="40" w:line="240" w:lineRule="auto"/>
      <w:jc w:val="left"/>
    </w:pPr>
    <w:rPr>
      <w:sz w:val="22"/>
    </w:rPr>
  </w:style>
  <w:style w:type="paragraph" w:customStyle="1" w:styleId="TOC21">
    <w:name w:val="TOC 21"/>
    <w:basedOn w:val="Normal"/>
    <w:pPr>
      <w:spacing w:after="40" w:line="240" w:lineRule="auto"/>
      <w:ind w:left="360"/>
      <w:jc w:val="left"/>
    </w:pPr>
    <w:rPr>
      <w:sz w:val="22"/>
    </w:rPr>
  </w:style>
  <w:style w:type="paragraph" w:customStyle="1" w:styleId="TableofFigures1">
    <w:name w:val="Table of Figures1"/>
    <w:basedOn w:val="Normal"/>
    <w:pPr>
      <w:spacing w:after="40" w:line="240" w:lineRule="auto"/>
      <w:jc w:val="left"/>
    </w:pPr>
    <w:rPr>
      <w:sz w:val="22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191249"/>
    <w:pPr>
      <w:spacing w:after="20" w:line="240" w:lineRule="auto"/>
    </w:pPr>
    <w:rPr>
      <w:sz w:val="21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191249"/>
    <w:pPr>
      <w:spacing w:after="20" w:line="240" w:lineRule="auto"/>
      <w:ind w:left="240"/>
    </w:pPr>
    <w:rPr>
      <w:sz w:val="21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191249"/>
    <w:pPr>
      <w:spacing w:after="20" w:line="240" w:lineRule="auto"/>
    </w:pPr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8146540-4B0A-4F6D-80C7-04C7B3FB5F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1780</Words>
  <Characters>9933</Characters>
  <Application>Microsoft Office Word</Application>
  <DocSecurity>0</DocSecurity>
  <Lines>191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Madhava Reddy</cp:lastModifiedBy>
  <cp:revision>2</cp:revision>
  <dcterms:created xsi:type="dcterms:W3CDTF">2013-12-23T23:15:00Z</dcterms:created>
  <dcterms:modified xsi:type="dcterms:W3CDTF">2026-10-26T05:37:00Z</dcterms:modified>
  <cp:category/>
</cp:coreProperties>
</file>