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10FF" w:rsidRDefault="007610FF">
      <w:pPr>
        <w:spacing w:after="480" w:line="240" w:lineRule="auto"/>
      </w:pPr>
      <w:bookmarkStart w:id="0" w:name="_GoBack"/>
      <w:bookmarkEnd w:id="0"/>
    </w:p>
    <w:p w:rsidR="007610FF" w:rsidRDefault="0018171B">
      <w:pPr>
        <w:jc w:val="center"/>
      </w:pPr>
      <w:r>
        <w:rPr>
          <w:rFonts w:cs="Times New Roman"/>
          <w:b/>
          <w:sz w:val="36"/>
        </w:rPr>
        <w:t>ATHENA - AUTONOMOUS TRIAGE AND HEALTHCARE ELECTRONIC NEURAL ASSISTANT</w:t>
      </w:r>
    </w:p>
    <w:p w:rsidR="007610FF" w:rsidRDefault="0018171B">
      <w:pPr>
        <w:spacing w:after="280"/>
        <w:jc w:val="center"/>
      </w:pPr>
      <w:r>
        <w:rPr>
          <w:rFonts w:cs="Times New Roman"/>
          <w:b/>
          <w:sz w:val="28"/>
        </w:rPr>
        <w:t>Scope and Limitations</w:t>
      </w:r>
    </w:p>
    <w:p w:rsidR="007610FF" w:rsidRDefault="0018171B">
      <w:pPr>
        <w:spacing w:after="40"/>
        <w:jc w:val="center"/>
      </w:pPr>
      <w:r>
        <w:rPr>
          <w:rFonts w:cs="Times New Roman"/>
        </w:rPr>
        <w:t>Department of Computer Science and Engineering, TKR College of Engineering &amp; Technology</w:t>
      </w:r>
    </w:p>
    <w:p w:rsidR="007610FF" w:rsidRDefault="0018171B">
      <w:pPr>
        <w:spacing w:after="240"/>
        <w:jc w:val="center"/>
      </w:pPr>
      <w:r>
        <w:rPr>
          <w:rFonts w:cs="Times New Roman"/>
        </w:rPr>
        <w:t>Batch A7 (CSE-A)  ·  Academic year [ACADEMIC YEAR]</w:t>
      </w:r>
    </w:p>
    <w:p w:rsidR="007610FF" w:rsidRDefault="0018171B">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610FF">
        <w:trPr>
          <w:cantSplit/>
          <w:tblHeader/>
          <w:jc w:val="center"/>
        </w:trPr>
        <w:tc>
          <w:tcPr>
            <w:tcW w:w="1008" w:type="dxa"/>
            <w:shd w:val="clear" w:color="auto" w:fill="1B2A41"/>
          </w:tcPr>
          <w:p w:rsidR="007610FF" w:rsidRDefault="0018171B">
            <w:pPr>
              <w:spacing w:after="40" w:line="240" w:lineRule="auto"/>
              <w:jc w:val="center"/>
            </w:pPr>
            <w:r>
              <w:rPr>
                <w:rFonts w:cs="Times New Roman"/>
                <w:b/>
                <w:color w:val="FFFFFF"/>
                <w:sz w:val="22"/>
              </w:rPr>
              <w:t>S.No.</w:t>
            </w:r>
          </w:p>
        </w:tc>
        <w:tc>
          <w:tcPr>
            <w:tcW w:w="4896" w:type="dxa"/>
            <w:shd w:val="clear" w:color="auto" w:fill="1B2A41"/>
          </w:tcPr>
          <w:p w:rsidR="007610FF" w:rsidRDefault="0018171B">
            <w:pPr>
              <w:spacing w:after="40" w:line="240" w:lineRule="auto"/>
              <w:jc w:val="center"/>
            </w:pPr>
            <w:r>
              <w:rPr>
                <w:rFonts w:cs="Times New Roman"/>
                <w:b/>
                <w:color w:val="FFFFFF"/>
                <w:sz w:val="22"/>
              </w:rPr>
              <w:t>Student name</w:t>
            </w:r>
          </w:p>
        </w:tc>
        <w:tc>
          <w:tcPr>
            <w:tcW w:w="2592" w:type="dxa"/>
            <w:shd w:val="clear" w:color="auto" w:fill="1B2A41"/>
          </w:tcPr>
          <w:p w:rsidR="007610FF" w:rsidRDefault="0018171B">
            <w:pPr>
              <w:spacing w:after="40" w:line="240" w:lineRule="auto"/>
              <w:jc w:val="center"/>
            </w:pPr>
            <w:r>
              <w:rPr>
                <w:rFonts w:cs="Times New Roman"/>
                <w:b/>
                <w:color w:val="FFFFFF"/>
                <w:sz w:val="22"/>
              </w:rPr>
              <w:t>Roll number</w:t>
            </w:r>
          </w:p>
        </w:tc>
      </w:tr>
      <w:tr w:rsidR="007610FF">
        <w:trPr>
          <w:cantSplit/>
          <w:jc w:val="center"/>
        </w:trPr>
        <w:tc>
          <w:tcPr>
            <w:tcW w:w="1008" w:type="dxa"/>
          </w:tcPr>
          <w:p w:rsidR="007610FF" w:rsidRDefault="0018171B">
            <w:pPr>
              <w:spacing w:after="40" w:line="240" w:lineRule="auto"/>
              <w:jc w:val="center"/>
            </w:pPr>
            <w:r>
              <w:rPr>
                <w:rFonts w:cs="Times New Roman"/>
                <w:sz w:val="22"/>
              </w:rPr>
              <w:t>1</w:t>
            </w:r>
          </w:p>
        </w:tc>
        <w:tc>
          <w:tcPr>
            <w:tcW w:w="4896" w:type="dxa"/>
          </w:tcPr>
          <w:p w:rsidR="007610FF" w:rsidRDefault="0018171B">
            <w:pPr>
              <w:spacing w:after="40" w:line="240" w:lineRule="auto"/>
              <w:jc w:val="left"/>
            </w:pPr>
            <w:r>
              <w:rPr>
                <w:rFonts w:cs="Times New Roman"/>
                <w:sz w:val="22"/>
              </w:rPr>
              <w:t>Badaveni Srinath</w:t>
            </w:r>
          </w:p>
        </w:tc>
        <w:tc>
          <w:tcPr>
            <w:tcW w:w="2592" w:type="dxa"/>
          </w:tcPr>
          <w:p w:rsidR="007610FF" w:rsidRDefault="0018171B">
            <w:pPr>
              <w:spacing w:after="40" w:line="240" w:lineRule="auto"/>
              <w:jc w:val="center"/>
            </w:pPr>
            <w:r>
              <w:rPr>
                <w:rFonts w:cs="Times New Roman"/>
                <w:sz w:val="22"/>
              </w:rPr>
              <w:t>23K91A0523</w:t>
            </w:r>
          </w:p>
        </w:tc>
      </w:tr>
      <w:tr w:rsidR="007610FF">
        <w:trPr>
          <w:cantSplit/>
          <w:jc w:val="center"/>
        </w:trPr>
        <w:tc>
          <w:tcPr>
            <w:tcW w:w="1008" w:type="dxa"/>
          </w:tcPr>
          <w:p w:rsidR="007610FF" w:rsidRDefault="0018171B">
            <w:pPr>
              <w:spacing w:after="40" w:line="240" w:lineRule="auto"/>
              <w:jc w:val="center"/>
            </w:pPr>
            <w:r>
              <w:rPr>
                <w:rFonts w:cs="Times New Roman"/>
                <w:sz w:val="22"/>
              </w:rPr>
              <w:t>2</w:t>
            </w:r>
          </w:p>
        </w:tc>
        <w:tc>
          <w:tcPr>
            <w:tcW w:w="4896" w:type="dxa"/>
          </w:tcPr>
          <w:p w:rsidR="007610FF" w:rsidRDefault="0018171B">
            <w:pPr>
              <w:spacing w:after="40" w:line="240" w:lineRule="auto"/>
              <w:jc w:val="left"/>
            </w:pPr>
            <w:r>
              <w:rPr>
                <w:rFonts w:cs="Times New Roman"/>
                <w:sz w:val="22"/>
              </w:rPr>
              <w:t>Basani Avinash</w:t>
            </w:r>
          </w:p>
        </w:tc>
        <w:tc>
          <w:tcPr>
            <w:tcW w:w="2592" w:type="dxa"/>
          </w:tcPr>
          <w:p w:rsidR="007610FF" w:rsidRDefault="0018171B">
            <w:pPr>
              <w:spacing w:after="40" w:line="240" w:lineRule="auto"/>
              <w:jc w:val="center"/>
            </w:pPr>
            <w:r>
              <w:rPr>
                <w:rFonts w:cs="Times New Roman"/>
                <w:sz w:val="22"/>
              </w:rPr>
              <w:t>23K91A0532</w:t>
            </w:r>
          </w:p>
        </w:tc>
      </w:tr>
      <w:tr w:rsidR="007610FF">
        <w:trPr>
          <w:cantSplit/>
          <w:jc w:val="center"/>
        </w:trPr>
        <w:tc>
          <w:tcPr>
            <w:tcW w:w="1008" w:type="dxa"/>
          </w:tcPr>
          <w:p w:rsidR="007610FF" w:rsidRDefault="0018171B">
            <w:pPr>
              <w:spacing w:after="40" w:line="240" w:lineRule="auto"/>
              <w:jc w:val="center"/>
            </w:pPr>
            <w:r>
              <w:rPr>
                <w:rFonts w:cs="Times New Roman"/>
                <w:sz w:val="22"/>
              </w:rPr>
              <w:t>3</w:t>
            </w:r>
          </w:p>
        </w:tc>
        <w:tc>
          <w:tcPr>
            <w:tcW w:w="4896" w:type="dxa"/>
          </w:tcPr>
          <w:p w:rsidR="007610FF" w:rsidRDefault="0018171B">
            <w:pPr>
              <w:spacing w:after="40" w:line="240" w:lineRule="auto"/>
              <w:jc w:val="left"/>
            </w:pPr>
            <w:r>
              <w:rPr>
                <w:rFonts w:cs="Times New Roman"/>
                <w:sz w:val="22"/>
              </w:rPr>
              <w:t>Degala Praneeth</w:t>
            </w:r>
          </w:p>
        </w:tc>
        <w:tc>
          <w:tcPr>
            <w:tcW w:w="2592" w:type="dxa"/>
          </w:tcPr>
          <w:p w:rsidR="007610FF" w:rsidRDefault="0018171B">
            <w:pPr>
              <w:spacing w:after="40" w:line="240" w:lineRule="auto"/>
              <w:jc w:val="center"/>
            </w:pPr>
            <w:r>
              <w:rPr>
                <w:rFonts w:cs="Times New Roman"/>
                <w:sz w:val="22"/>
              </w:rPr>
              <w:t>23K91A0561</w:t>
            </w:r>
          </w:p>
        </w:tc>
      </w:tr>
      <w:tr w:rsidR="007610FF">
        <w:trPr>
          <w:cantSplit/>
          <w:jc w:val="center"/>
        </w:trPr>
        <w:tc>
          <w:tcPr>
            <w:tcW w:w="1008" w:type="dxa"/>
          </w:tcPr>
          <w:p w:rsidR="007610FF" w:rsidRDefault="0018171B">
            <w:pPr>
              <w:spacing w:after="40" w:line="240" w:lineRule="auto"/>
              <w:jc w:val="center"/>
            </w:pPr>
            <w:r>
              <w:rPr>
                <w:rFonts w:cs="Times New Roman"/>
                <w:sz w:val="22"/>
              </w:rPr>
              <w:t>4</w:t>
            </w:r>
          </w:p>
        </w:tc>
        <w:tc>
          <w:tcPr>
            <w:tcW w:w="4896" w:type="dxa"/>
          </w:tcPr>
          <w:p w:rsidR="007610FF" w:rsidRDefault="0018171B">
            <w:pPr>
              <w:spacing w:after="40" w:line="240" w:lineRule="auto"/>
              <w:jc w:val="left"/>
            </w:pPr>
            <w:r>
              <w:rPr>
                <w:rFonts w:cs="Times New Roman"/>
                <w:sz w:val="22"/>
              </w:rPr>
              <w:t>Bontha Saisree</w:t>
            </w:r>
          </w:p>
        </w:tc>
        <w:tc>
          <w:tcPr>
            <w:tcW w:w="2592" w:type="dxa"/>
          </w:tcPr>
          <w:p w:rsidR="007610FF" w:rsidRDefault="0018171B">
            <w:pPr>
              <w:spacing w:after="40" w:line="240" w:lineRule="auto"/>
              <w:jc w:val="center"/>
            </w:pPr>
            <w:r>
              <w:rPr>
                <w:rFonts w:cs="Times New Roman"/>
                <w:sz w:val="22"/>
              </w:rPr>
              <w:t>23K91A0545</w:t>
            </w:r>
          </w:p>
        </w:tc>
      </w:tr>
    </w:tbl>
    <w:p w:rsidR="007610FF" w:rsidRDefault="007610FF">
      <w:pPr>
        <w:spacing w:line="192" w:lineRule="auto"/>
      </w:pPr>
    </w:p>
    <w:p w:rsidR="007610FF" w:rsidRDefault="0018171B">
      <w:pPr>
        <w:spacing w:after="200"/>
        <w:jc w:val="center"/>
      </w:pPr>
      <w:r>
        <w:rPr>
          <w:rFonts w:cs="Times New Roman"/>
          <w:b/>
        </w:rPr>
        <w:t>Project guide:</w:t>
      </w:r>
      <w:r>
        <w:rPr>
          <w:rFonts w:cs="Times New Roman"/>
        </w:rPr>
        <w:t xml:space="preserve"> K. Shalini</w:t>
      </w:r>
    </w:p>
    <w:p w:rsidR="007610FF" w:rsidRDefault="0018171B">
      <w:r>
        <w:rPr>
          <w:rFonts w:cs="Times New Roman"/>
          <w:i/>
          <w:sz w:val="21"/>
        </w:rPr>
        <w:t xml:space="preserve">Chapter and section numbers quoted in </w:t>
      </w:r>
      <w:r>
        <w:rPr>
          <w:rFonts w:cs="Times New Roman"/>
          <w:i/>
          <w:sz w:val="21"/>
        </w:rPr>
        <w:t>the text (for example Chapter 8 or Section 6.2) refer to the full project report, 17.Final Document. Figures and tables in this document are numbered from 1.</w:t>
      </w:r>
    </w:p>
    <w:p w:rsidR="007610FF" w:rsidRDefault="0018171B">
      <w:pPr>
        <w:pStyle w:val="Heading1"/>
      </w:pPr>
      <w:r>
        <w:t>1. SCOPE</w:t>
      </w:r>
    </w:p>
    <w:p w:rsidR="007610FF" w:rsidRDefault="0018171B">
      <w:pPr>
        <w:pStyle w:val="Heading2"/>
      </w:pPr>
      <w:r>
        <w:t>1.1 What is in scope</w:t>
      </w:r>
    </w:p>
    <w:p w:rsidR="007610FF" w:rsidRDefault="0018171B">
      <w:pPr>
        <w:spacing w:after="60"/>
        <w:ind w:left="720" w:hanging="360"/>
      </w:pPr>
      <w:r>
        <w:rPr>
          <w:rFonts w:cs="Times New Roman"/>
        </w:rPr>
        <w:t xml:space="preserve">•  Reading a PDF or PNG/JPG report of up to 15 MB: symptoms, </w:t>
      </w:r>
      <w:r>
        <w:rPr>
          <w:rFonts w:cs="Times New Roman"/>
        </w:rPr>
        <w:t>findings, history and six laboratory values, each kept with the page it came from.</w:t>
      </w:r>
    </w:p>
    <w:p w:rsidR="007610FF" w:rsidRDefault="0018171B">
      <w:pPr>
        <w:spacing w:after="60"/>
        <w:ind w:left="720" w:hanging="360"/>
      </w:pPr>
      <w:r>
        <w:rPr>
          <w:rFonts w:cs="Times New Roman"/>
        </w:rPr>
        <w:t>•  Entering eight vitals (age, heart rate, systolic and diastolic pressure, SpO2, temperature, respiratory rate, arrival mode) and fusing them with the report flags.</w:t>
      </w:r>
    </w:p>
    <w:p w:rsidR="007610FF" w:rsidRDefault="0018171B">
      <w:pPr>
        <w:spacing w:after="60"/>
        <w:ind w:left="720" w:hanging="360"/>
      </w:pPr>
      <w:r>
        <w:rPr>
          <w:rFonts w:cs="Times New Roman"/>
        </w:rPr>
        <w:t xml:space="preserve">•  </w:t>
      </w:r>
      <w:r>
        <w:rPr>
          <w:rFonts w:cs="Times New Roman"/>
        </w:rPr>
        <w:t>Assigning a priority from 1 (Critical) to 5 (Non-urgent), a risk level (High, Moderate, Low), a calibrated confidence and a per-patient SHAP explanation.</w:t>
      </w:r>
    </w:p>
    <w:p w:rsidR="007610FF" w:rsidRDefault="0018171B">
      <w:pPr>
        <w:spacing w:after="60"/>
        <w:ind w:left="720" w:hanging="360"/>
      </w:pPr>
      <w:r>
        <w:rPr>
          <w:rFonts w:cs="Times New Roman"/>
        </w:rPr>
        <w:t xml:space="preserve">•  Accepting or changing the priority with a reason, a live queue ordered by priority then arrival, a </w:t>
      </w:r>
      <w:r>
        <w:rPr>
          <w:rFonts w:cs="Times New Roman"/>
        </w:rPr>
        <w:t>performance page and a triage-summary PDF.</w:t>
      </w:r>
    </w:p>
    <w:p w:rsidR="007610FF" w:rsidRDefault="0018171B">
      <w:pPr>
        <w:spacing w:after="60"/>
        <w:ind w:left="720" w:hanging="360"/>
      </w:pPr>
      <w:r>
        <w:rPr>
          <w:rFonts w:cs="Times New Roman"/>
        </w:rPr>
        <w:lastRenderedPageBreak/>
        <w:t>•  Training and evaluating the model offline on a seeded synthetic data set, and measuring accuracy, calibration, robustness, reader quality and processing time on one machine.</w:t>
      </w:r>
    </w:p>
    <w:p w:rsidR="007610FF" w:rsidRDefault="0018171B">
      <w:pPr>
        <w:pStyle w:val="Heading2"/>
      </w:pPr>
      <w:r>
        <w:t>1.2 What is out of scope</w:t>
      </w:r>
    </w:p>
    <w:p w:rsidR="007610FF" w:rsidRDefault="0018171B">
      <w:pPr>
        <w:pStyle w:val="Caption"/>
        <w:keepNext/>
        <w:spacing w:after="80"/>
      </w:pPr>
      <w:r>
        <w:rPr>
          <w:rFonts w:cs="Times New Roman"/>
        </w:rPr>
        <w:t xml:space="preserve">Table </w:t>
      </w:r>
      <w:r>
        <w:rPr>
          <w:rFonts w:cs="Times New Roman"/>
        </w:rPr>
        <w:fldChar w:fldCharType="begin"/>
      </w:r>
      <w:r>
        <w:rPr>
          <w:rFonts w:cs="Times New Roman"/>
        </w:rPr>
        <w:instrText xml:space="preserve"> SEQ </w:instrText>
      </w:r>
      <w:r>
        <w:rPr>
          <w:rFonts w:cs="Times New Roman"/>
        </w:rPr>
        <w:instrText xml:space="preserve">Table \* ARABIC </w:instrText>
      </w:r>
      <w:r>
        <w:rPr>
          <w:rFonts w:cs="Times New Roman"/>
        </w:rPr>
        <w:fldChar w:fldCharType="separate"/>
      </w:r>
      <w:r>
        <w:rPr>
          <w:rFonts w:cs="Times New Roman"/>
          <w:noProof/>
        </w:rPr>
        <w:t>2</w:t>
      </w:r>
      <w:r>
        <w:rPr>
          <w:rFonts w:cs="Times New Roman"/>
        </w:rPr>
        <w:fldChar w:fldCharType="end"/>
      </w:r>
      <w:r>
        <w:rPr>
          <w:rFonts w:cs="Times New Roman"/>
        </w:rPr>
        <w:t>: Items deliberately not covered</w:t>
      </w:r>
    </w:p>
    <w:tbl>
      <w:tblPr>
        <w:tblStyle w:val="TableGrid"/>
        <w:tblW w:w="0" w:type="auto"/>
        <w:jc w:val="center"/>
        <w:tblLook w:val="04A0" w:firstRow="1" w:lastRow="0" w:firstColumn="1" w:lastColumn="0" w:noHBand="0" w:noVBand="1"/>
      </w:tblPr>
      <w:tblGrid>
        <w:gridCol w:w="3271"/>
        <w:gridCol w:w="4069"/>
        <w:gridCol w:w="1542"/>
      </w:tblGrid>
      <w:tr w:rsidR="007610FF">
        <w:trPr>
          <w:cantSplit/>
          <w:tblHeader/>
          <w:jc w:val="center"/>
        </w:trPr>
        <w:tc>
          <w:tcPr>
            <w:tcW w:w="3456" w:type="dxa"/>
            <w:shd w:val="clear" w:color="auto" w:fill="1B2A41"/>
          </w:tcPr>
          <w:p w:rsidR="007610FF" w:rsidRDefault="0018171B">
            <w:pPr>
              <w:spacing w:after="40" w:line="240" w:lineRule="auto"/>
              <w:jc w:val="center"/>
            </w:pPr>
            <w:r>
              <w:rPr>
                <w:rFonts w:cs="Times New Roman"/>
                <w:b/>
                <w:color w:val="FFFFFF"/>
                <w:sz w:val="19"/>
              </w:rPr>
              <w:t>Item</w:t>
            </w:r>
          </w:p>
        </w:tc>
        <w:tc>
          <w:tcPr>
            <w:tcW w:w="4320" w:type="dxa"/>
            <w:shd w:val="clear" w:color="auto" w:fill="1B2A41"/>
          </w:tcPr>
          <w:p w:rsidR="007610FF" w:rsidRDefault="0018171B">
            <w:pPr>
              <w:spacing w:after="40" w:line="240" w:lineRule="auto"/>
              <w:jc w:val="center"/>
            </w:pPr>
            <w:r>
              <w:rPr>
                <w:rFonts w:cs="Times New Roman"/>
                <w:b/>
                <w:color w:val="FFFFFF"/>
                <w:sz w:val="19"/>
              </w:rPr>
              <w:t>Why it is out</w:t>
            </w:r>
          </w:p>
        </w:tc>
        <w:tc>
          <w:tcPr>
            <w:tcW w:w="1584" w:type="dxa"/>
            <w:shd w:val="clear" w:color="auto" w:fill="1B2A41"/>
          </w:tcPr>
          <w:p w:rsidR="007610FF" w:rsidRDefault="0018171B">
            <w:pPr>
              <w:spacing w:after="40" w:line="240" w:lineRule="auto"/>
              <w:jc w:val="center"/>
            </w:pPr>
            <w:r>
              <w:rPr>
                <w:rFonts w:cs="Times New Roman"/>
                <w:b/>
                <w:color w:val="FFFFFF"/>
                <w:sz w:val="19"/>
              </w:rPr>
              <w:t>Where it appears</w:t>
            </w:r>
          </w:p>
        </w:tc>
      </w:tr>
      <w:tr w:rsidR="007610FF">
        <w:trPr>
          <w:cantSplit/>
          <w:jc w:val="center"/>
        </w:trPr>
        <w:tc>
          <w:tcPr>
            <w:tcW w:w="3456" w:type="dxa"/>
          </w:tcPr>
          <w:p w:rsidR="007610FF" w:rsidRDefault="0018171B">
            <w:pPr>
              <w:spacing w:after="40" w:line="240" w:lineRule="auto"/>
              <w:jc w:val="left"/>
            </w:pPr>
            <w:r>
              <w:rPr>
                <w:rFonts w:cs="Times New Roman"/>
                <w:sz w:val="19"/>
              </w:rPr>
              <w:t>Training or testing on real patient records</w:t>
            </w:r>
          </w:p>
        </w:tc>
        <w:tc>
          <w:tcPr>
            <w:tcW w:w="4320" w:type="dxa"/>
          </w:tcPr>
          <w:p w:rsidR="007610FF" w:rsidRDefault="0018171B">
            <w:pPr>
              <w:spacing w:after="40" w:line="240" w:lineRule="auto"/>
              <w:jc w:val="left"/>
            </w:pPr>
            <w:r>
              <w:rPr>
                <w:rFonts w:cs="Times New Roman"/>
                <w:sz w:val="19"/>
              </w:rPr>
              <w:t>No real triage data set was obtained; the Kaggle download script exists but was never run</w:t>
            </w:r>
          </w:p>
        </w:tc>
        <w:tc>
          <w:tcPr>
            <w:tcW w:w="1584" w:type="dxa"/>
          </w:tcPr>
          <w:p w:rsidR="007610FF" w:rsidRDefault="0018171B">
            <w:pPr>
              <w:spacing w:after="40" w:line="240" w:lineRule="auto"/>
              <w:jc w:val="left"/>
            </w:pPr>
            <w:r>
              <w:rPr>
                <w:rFonts w:cs="Times New Roman"/>
                <w:sz w:val="19"/>
              </w:rPr>
              <w:t>Future scope</w:t>
            </w:r>
          </w:p>
        </w:tc>
      </w:tr>
      <w:tr w:rsidR="007610FF">
        <w:trPr>
          <w:cantSplit/>
          <w:jc w:val="center"/>
        </w:trPr>
        <w:tc>
          <w:tcPr>
            <w:tcW w:w="3456" w:type="dxa"/>
          </w:tcPr>
          <w:p w:rsidR="007610FF" w:rsidRDefault="0018171B">
            <w:pPr>
              <w:spacing w:after="40" w:line="240" w:lineRule="auto"/>
              <w:jc w:val="left"/>
            </w:pPr>
            <w:r>
              <w:rPr>
                <w:rFonts w:cs="Times New Roman"/>
                <w:sz w:val="19"/>
              </w:rPr>
              <w:t>A medical language</w:t>
            </w:r>
            <w:r>
              <w:rPr>
                <w:rFonts w:cs="Times New Roman"/>
                <w:sz w:val="19"/>
              </w:rPr>
              <w:t xml:space="preserve"> model (BioBERT) for extraction</w:t>
            </w:r>
          </w:p>
        </w:tc>
        <w:tc>
          <w:tcPr>
            <w:tcW w:w="4320" w:type="dxa"/>
          </w:tcPr>
          <w:p w:rsidR="007610FF" w:rsidRDefault="0018171B">
            <w:pPr>
              <w:spacing w:after="40" w:line="240" w:lineRule="auto"/>
              <w:jc w:val="left"/>
            </w:pPr>
            <w:r>
              <w:rPr>
                <w:rFonts w:cs="Times New Roman"/>
                <w:sz w:val="19"/>
              </w:rPr>
              <w:t>A rule-based lexicon with negation was used; no model download or GPU</w:t>
            </w:r>
          </w:p>
        </w:tc>
        <w:tc>
          <w:tcPr>
            <w:tcW w:w="1584" w:type="dxa"/>
          </w:tcPr>
          <w:p w:rsidR="007610FF" w:rsidRDefault="0018171B">
            <w:pPr>
              <w:spacing w:after="40" w:line="240" w:lineRule="auto"/>
              <w:jc w:val="left"/>
            </w:pPr>
            <w:r>
              <w:rPr>
                <w:rFonts w:cs="Times New Roman"/>
                <w:sz w:val="19"/>
              </w:rPr>
              <w:t>Future scope</w:t>
            </w:r>
          </w:p>
        </w:tc>
      </w:tr>
      <w:tr w:rsidR="007610FF">
        <w:trPr>
          <w:cantSplit/>
          <w:jc w:val="center"/>
        </w:trPr>
        <w:tc>
          <w:tcPr>
            <w:tcW w:w="3456" w:type="dxa"/>
          </w:tcPr>
          <w:p w:rsidR="007610FF" w:rsidRDefault="0018171B">
            <w:pPr>
              <w:spacing w:after="40" w:line="240" w:lineRule="auto"/>
              <w:jc w:val="left"/>
            </w:pPr>
            <w:r>
              <w:rPr>
                <w:rFonts w:cs="Times New Roman"/>
                <w:sz w:val="19"/>
              </w:rPr>
              <w:t>RAG, multi-agent orchestration, LIME</w:t>
            </w:r>
          </w:p>
        </w:tc>
        <w:tc>
          <w:tcPr>
            <w:tcW w:w="4320" w:type="dxa"/>
          </w:tcPr>
          <w:p w:rsidR="007610FF" w:rsidRDefault="0018171B">
            <w:pPr>
              <w:spacing w:after="40" w:line="240" w:lineRule="auto"/>
              <w:jc w:val="left"/>
            </w:pPr>
            <w:r>
              <w:rPr>
                <w:rFonts w:cs="Times New Roman"/>
                <w:sz w:val="19"/>
              </w:rPr>
              <w:t>Named in the batch abstract; not built</w:t>
            </w:r>
          </w:p>
        </w:tc>
        <w:tc>
          <w:tcPr>
            <w:tcW w:w="1584" w:type="dxa"/>
          </w:tcPr>
          <w:p w:rsidR="007610FF" w:rsidRDefault="0018171B">
            <w:pPr>
              <w:spacing w:after="40" w:line="240" w:lineRule="auto"/>
              <w:jc w:val="left"/>
            </w:pPr>
            <w:r>
              <w:rPr>
                <w:rFonts w:cs="Times New Roman"/>
                <w:sz w:val="19"/>
              </w:rPr>
              <w:t>Future scope</w:t>
            </w:r>
          </w:p>
        </w:tc>
      </w:tr>
      <w:tr w:rsidR="007610FF">
        <w:trPr>
          <w:cantSplit/>
          <w:jc w:val="center"/>
        </w:trPr>
        <w:tc>
          <w:tcPr>
            <w:tcW w:w="3456" w:type="dxa"/>
          </w:tcPr>
          <w:p w:rsidR="007610FF" w:rsidRDefault="0018171B">
            <w:pPr>
              <w:spacing w:after="40" w:line="240" w:lineRule="auto"/>
              <w:jc w:val="left"/>
            </w:pPr>
            <w:r>
              <w:rPr>
                <w:rFonts w:cs="Times New Roman"/>
                <w:sz w:val="19"/>
              </w:rPr>
              <w:t>Risk models for six diseases (diabetes, heart, CKD</w:t>
            </w:r>
            <w:r>
              <w:rPr>
                <w:rFonts w:cs="Times New Roman"/>
                <w:sz w:val="19"/>
              </w:rPr>
              <w:t>, breast cancer, liver, sepsis)</w:t>
            </w:r>
          </w:p>
        </w:tc>
        <w:tc>
          <w:tcPr>
            <w:tcW w:w="4320" w:type="dxa"/>
          </w:tcPr>
          <w:p w:rsidR="007610FF" w:rsidRDefault="0018171B">
            <w:pPr>
              <w:spacing w:after="40" w:line="240" w:lineRule="auto"/>
              <w:jc w:val="left"/>
            </w:pPr>
            <w:r>
              <w:rPr>
                <w:rFonts w:cs="Times New Roman"/>
                <w:sz w:val="19"/>
              </w:rPr>
              <w:t>Only the five-level triage target was built</w:t>
            </w:r>
          </w:p>
        </w:tc>
        <w:tc>
          <w:tcPr>
            <w:tcW w:w="1584" w:type="dxa"/>
          </w:tcPr>
          <w:p w:rsidR="007610FF" w:rsidRDefault="0018171B">
            <w:pPr>
              <w:spacing w:after="40" w:line="240" w:lineRule="auto"/>
              <w:jc w:val="left"/>
            </w:pPr>
            <w:r>
              <w:rPr>
                <w:rFonts w:cs="Times New Roman"/>
                <w:sz w:val="19"/>
              </w:rPr>
              <w:t>Future scope</w:t>
            </w:r>
          </w:p>
        </w:tc>
      </w:tr>
      <w:tr w:rsidR="007610FF">
        <w:trPr>
          <w:cantSplit/>
          <w:jc w:val="center"/>
        </w:trPr>
        <w:tc>
          <w:tcPr>
            <w:tcW w:w="3456" w:type="dxa"/>
          </w:tcPr>
          <w:p w:rsidR="007610FF" w:rsidRDefault="0018171B">
            <w:pPr>
              <w:spacing w:after="40" w:line="240" w:lineRule="auto"/>
              <w:jc w:val="left"/>
            </w:pPr>
            <w:r>
              <w:rPr>
                <w:rFonts w:cs="Times New Roman"/>
                <w:sz w:val="19"/>
              </w:rPr>
              <w:t>MongoDB, Node.js and Flask services</w:t>
            </w:r>
          </w:p>
        </w:tc>
        <w:tc>
          <w:tcPr>
            <w:tcW w:w="4320" w:type="dxa"/>
          </w:tcPr>
          <w:p w:rsidR="007610FF" w:rsidRDefault="0018171B">
            <w:pPr>
              <w:spacing w:after="40" w:line="240" w:lineRule="auto"/>
              <w:jc w:val="left"/>
            </w:pPr>
            <w:r>
              <w:rPr>
                <w:rFonts w:cs="Times New Roman"/>
                <w:sz w:val="19"/>
              </w:rPr>
              <w:t>SQLite, FastAPI and a React single-page app were used instead</w:t>
            </w:r>
          </w:p>
        </w:tc>
        <w:tc>
          <w:tcPr>
            <w:tcW w:w="1584" w:type="dxa"/>
          </w:tcPr>
          <w:p w:rsidR="007610FF" w:rsidRDefault="0018171B">
            <w:pPr>
              <w:spacing w:after="40" w:line="240" w:lineRule="auto"/>
              <w:jc w:val="left"/>
            </w:pPr>
            <w:r>
              <w:rPr>
                <w:rFonts w:cs="Times New Roman"/>
                <w:sz w:val="19"/>
              </w:rPr>
              <w:t>Chapter 5</w:t>
            </w:r>
          </w:p>
        </w:tc>
      </w:tr>
      <w:tr w:rsidR="007610FF">
        <w:trPr>
          <w:cantSplit/>
          <w:jc w:val="center"/>
        </w:trPr>
        <w:tc>
          <w:tcPr>
            <w:tcW w:w="3456" w:type="dxa"/>
          </w:tcPr>
          <w:p w:rsidR="007610FF" w:rsidRDefault="0018171B">
            <w:pPr>
              <w:spacing w:after="40" w:line="240" w:lineRule="auto"/>
              <w:jc w:val="left"/>
            </w:pPr>
            <w:r>
              <w:rPr>
                <w:rFonts w:cs="Times New Roman"/>
                <w:sz w:val="19"/>
              </w:rPr>
              <w:t>Hospital integration (HL7, FHIR, EHR feeds, bedside monit</w:t>
            </w:r>
            <w:r>
              <w:rPr>
                <w:rFonts w:cs="Times New Roman"/>
                <w:sz w:val="19"/>
              </w:rPr>
              <w:t>ors)</w:t>
            </w:r>
          </w:p>
        </w:tc>
        <w:tc>
          <w:tcPr>
            <w:tcW w:w="4320" w:type="dxa"/>
          </w:tcPr>
          <w:p w:rsidR="007610FF" w:rsidRDefault="0018171B">
            <w:pPr>
              <w:spacing w:after="40" w:line="240" w:lineRule="auto"/>
              <w:jc w:val="left"/>
            </w:pPr>
            <w:r>
              <w:rPr>
                <w:rFonts w:cs="Times New Roman"/>
                <w:sz w:val="19"/>
              </w:rPr>
              <w:t>Vitals are typed by the user</w:t>
            </w:r>
          </w:p>
        </w:tc>
        <w:tc>
          <w:tcPr>
            <w:tcW w:w="1584" w:type="dxa"/>
          </w:tcPr>
          <w:p w:rsidR="007610FF" w:rsidRDefault="0018171B">
            <w:pPr>
              <w:spacing w:after="40" w:line="240" w:lineRule="auto"/>
              <w:jc w:val="left"/>
            </w:pPr>
            <w:r>
              <w:rPr>
                <w:rFonts w:cs="Times New Roman"/>
                <w:sz w:val="19"/>
              </w:rPr>
              <w:t>Future scope</w:t>
            </w:r>
          </w:p>
        </w:tc>
      </w:tr>
      <w:tr w:rsidR="007610FF">
        <w:trPr>
          <w:cantSplit/>
          <w:jc w:val="center"/>
        </w:trPr>
        <w:tc>
          <w:tcPr>
            <w:tcW w:w="3456" w:type="dxa"/>
          </w:tcPr>
          <w:p w:rsidR="007610FF" w:rsidRDefault="0018171B">
            <w:pPr>
              <w:spacing w:after="40" w:line="240" w:lineRule="auto"/>
              <w:jc w:val="left"/>
            </w:pPr>
            <w:r>
              <w:rPr>
                <w:rFonts w:cs="Times New Roman"/>
                <w:sz w:val="19"/>
              </w:rPr>
              <w:t>Clinical validation, regulatory review, user study</w:t>
            </w:r>
          </w:p>
        </w:tc>
        <w:tc>
          <w:tcPr>
            <w:tcW w:w="4320" w:type="dxa"/>
          </w:tcPr>
          <w:p w:rsidR="007610FF" w:rsidRDefault="0018171B">
            <w:pPr>
              <w:spacing w:after="40" w:line="240" w:lineRule="auto"/>
              <w:jc w:val="left"/>
            </w:pPr>
            <w:r>
              <w:rPr>
                <w:rFonts w:cs="Times New Roman"/>
                <w:sz w:val="19"/>
              </w:rPr>
              <w:t>Decision support for a demonstration; no clinician took part</w:t>
            </w:r>
          </w:p>
        </w:tc>
        <w:tc>
          <w:tcPr>
            <w:tcW w:w="1584" w:type="dxa"/>
          </w:tcPr>
          <w:p w:rsidR="007610FF" w:rsidRDefault="0018171B">
            <w:pPr>
              <w:spacing w:after="40" w:line="240" w:lineRule="auto"/>
              <w:jc w:val="left"/>
            </w:pPr>
            <w:r>
              <w:rPr>
                <w:rFonts w:cs="Times New Roman"/>
                <w:sz w:val="19"/>
              </w:rPr>
              <w:t>Limitations</w:t>
            </w:r>
          </w:p>
        </w:tc>
      </w:tr>
      <w:tr w:rsidR="007610FF">
        <w:trPr>
          <w:cantSplit/>
          <w:jc w:val="center"/>
        </w:trPr>
        <w:tc>
          <w:tcPr>
            <w:tcW w:w="3456" w:type="dxa"/>
          </w:tcPr>
          <w:p w:rsidR="007610FF" w:rsidRDefault="0018171B">
            <w:pPr>
              <w:spacing w:after="40" w:line="240" w:lineRule="auto"/>
              <w:jc w:val="left"/>
            </w:pPr>
            <w:r>
              <w:rPr>
                <w:rFonts w:cs="Times New Roman"/>
                <w:sz w:val="19"/>
              </w:rPr>
              <w:t>Production security (TLS, rate limiting, secret management, audit)</w:t>
            </w:r>
          </w:p>
        </w:tc>
        <w:tc>
          <w:tcPr>
            <w:tcW w:w="4320" w:type="dxa"/>
          </w:tcPr>
          <w:p w:rsidR="007610FF" w:rsidRDefault="0018171B">
            <w:pPr>
              <w:spacing w:after="40" w:line="240" w:lineRule="auto"/>
              <w:jc w:val="left"/>
            </w:pPr>
            <w:r>
              <w:rPr>
                <w:rFonts w:cs="Times New Roman"/>
                <w:sz w:val="19"/>
              </w:rPr>
              <w:t xml:space="preserve">Local </w:t>
            </w:r>
            <w:r>
              <w:rPr>
                <w:rFonts w:cs="Times New Roman"/>
                <w:sz w:val="19"/>
              </w:rPr>
              <w:t>demonstration service</w:t>
            </w:r>
          </w:p>
        </w:tc>
        <w:tc>
          <w:tcPr>
            <w:tcW w:w="1584" w:type="dxa"/>
          </w:tcPr>
          <w:p w:rsidR="007610FF" w:rsidRDefault="0018171B">
            <w:pPr>
              <w:spacing w:after="40" w:line="240" w:lineRule="auto"/>
              <w:jc w:val="left"/>
            </w:pPr>
            <w:r>
              <w:rPr>
                <w:rFonts w:cs="Times New Roman"/>
                <w:sz w:val="19"/>
              </w:rPr>
              <w:t>Limitations</w:t>
            </w:r>
          </w:p>
        </w:tc>
      </w:tr>
      <w:tr w:rsidR="007610FF">
        <w:trPr>
          <w:cantSplit/>
          <w:jc w:val="center"/>
        </w:trPr>
        <w:tc>
          <w:tcPr>
            <w:tcW w:w="3456" w:type="dxa"/>
          </w:tcPr>
          <w:p w:rsidR="007610FF" w:rsidRDefault="0018171B">
            <w:pPr>
              <w:spacing w:after="40" w:line="240" w:lineRule="auto"/>
              <w:jc w:val="left"/>
            </w:pPr>
            <w:r>
              <w:rPr>
                <w:rFonts w:cs="Times New Roman"/>
                <w:sz w:val="19"/>
              </w:rPr>
              <w:t>Adversarial inputs and large-scale load testing</w:t>
            </w:r>
          </w:p>
        </w:tc>
        <w:tc>
          <w:tcPr>
            <w:tcW w:w="4320" w:type="dxa"/>
          </w:tcPr>
          <w:p w:rsidR="007610FF" w:rsidRDefault="0018171B">
            <w:pPr>
              <w:spacing w:after="40" w:line="240" w:lineRule="auto"/>
              <w:jc w:val="left"/>
            </w:pPr>
            <w:r>
              <w:rPr>
                <w:rFonts w:cs="Times New Roman"/>
                <w:sz w:val="19"/>
              </w:rPr>
              <w:t>Not attempted</w:t>
            </w:r>
          </w:p>
        </w:tc>
        <w:tc>
          <w:tcPr>
            <w:tcW w:w="1584" w:type="dxa"/>
          </w:tcPr>
          <w:p w:rsidR="007610FF" w:rsidRDefault="0018171B">
            <w:pPr>
              <w:spacing w:after="40" w:line="240" w:lineRule="auto"/>
              <w:jc w:val="left"/>
            </w:pPr>
            <w:r>
              <w:rPr>
                <w:rFonts w:cs="Times New Roman"/>
                <w:sz w:val="19"/>
              </w:rPr>
              <w:t>Limitations</w:t>
            </w:r>
          </w:p>
        </w:tc>
      </w:tr>
    </w:tbl>
    <w:p w:rsidR="007610FF" w:rsidRDefault="007610FF">
      <w:pPr>
        <w:spacing w:line="192" w:lineRule="auto"/>
      </w:pPr>
    </w:p>
    <w:p w:rsidR="007610FF" w:rsidRDefault="0018171B">
      <w:pPr>
        <w:pStyle w:val="Heading1"/>
        <w:pageBreakBefore/>
      </w:pPr>
      <w:r>
        <w:lastRenderedPageBreak/>
        <w:t>2. ASSUMPTIONS</w:t>
      </w:r>
    </w:p>
    <w:p w:rsidR="007610FF" w:rsidRDefault="0018171B">
      <w:r>
        <w:rPr>
          <w:rFonts w:cs="Times New Roman"/>
        </w:rPr>
        <w:t>The results and the design rest on the following assumptions.</w:t>
      </w:r>
    </w:p>
    <w:p w:rsidR="007610FF" w:rsidRDefault="0018171B">
      <w:pPr>
        <w:spacing w:after="60"/>
        <w:ind w:left="720" w:hanging="360"/>
      </w:pPr>
      <w:r>
        <w:rPr>
          <w:rFonts w:cs="Times New Roman"/>
        </w:rPr>
        <w:t xml:space="preserve">•  The synthetic generator's seven archetypes and its severity rule </w:t>
      </w:r>
      <w:r>
        <w:rPr>
          <w:rFonts w:cs="Times New Roman"/>
        </w:rPr>
        <w:t>are a stand-in for clinical triage. The recorded priority in the data is that rule plus noise, not a clinician's decision.</w:t>
      </w:r>
    </w:p>
    <w:p w:rsidR="007610FF" w:rsidRDefault="0018171B">
      <w:pPr>
        <w:spacing w:after="60"/>
        <w:ind w:left="720" w:hanging="360"/>
      </w:pPr>
      <w:r>
        <w:rPr>
          <w:rFonts w:cs="Times New Roman"/>
        </w:rPr>
        <w:t xml:space="preserve">•  Eight vitals and 28 report flags are enough to describe a patient at the door; real triage also uses the chief complaint wording, </w:t>
      </w:r>
      <w:r>
        <w:rPr>
          <w:rFonts w:cs="Times New Roman"/>
        </w:rPr>
        <w:t>pain scores, mental status and the nurse's overall impression.</w:t>
      </w:r>
    </w:p>
    <w:p w:rsidR="007610FF" w:rsidRDefault="0018171B">
      <w:pPr>
        <w:spacing w:after="60"/>
        <w:ind w:left="720" w:hanging="360"/>
      </w:pPr>
      <w:r>
        <w:rPr>
          <w:rFonts w:cs="Times New Roman"/>
        </w:rPr>
        <w:t>•  A report finding that is not mentioned is absent (flag 0). This is the base paper's rule and ATHENA's, and it is wrong whenever the report is silent about something present.</w:t>
      </w:r>
    </w:p>
    <w:p w:rsidR="007610FF" w:rsidRDefault="0018171B">
      <w:pPr>
        <w:spacing w:after="60"/>
        <w:ind w:left="720" w:hanging="360"/>
      </w:pPr>
      <w:r>
        <w:rPr>
          <w:rFonts w:cs="Times New Roman"/>
        </w:rPr>
        <w:t>•  Clinical term</w:t>
      </w:r>
      <w:r>
        <w:rPr>
          <w:rFonts w:cs="Times New Roman"/>
        </w:rPr>
        <w:t>s in a report appear in the lexicon's forms (including common abbreviations and OCR run-ons) and negation precedes the term within 45 characters in the same clause.</w:t>
      </w:r>
    </w:p>
    <w:p w:rsidR="007610FF" w:rsidRDefault="0018171B">
      <w:pPr>
        <w:spacing w:after="60"/>
        <w:ind w:left="720" w:hanging="360"/>
      </w:pPr>
      <w:r>
        <w:rPr>
          <w:rFonts w:cs="Times New Roman"/>
        </w:rPr>
        <w:t xml:space="preserve">•  Reference ranges for the six laboratory values are fixed adult values and do not depend </w:t>
      </w:r>
      <w:r>
        <w:rPr>
          <w:rFonts w:cs="Times New Roman"/>
        </w:rPr>
        <w:t>on age, sex or units other than those the lexicon expects.</w:t>
      </w:r>
    </w:p>
    <w:p w:rsidR="007610FF" w:rsidRDefault="0018171B">
      <w:pPr>
        <w:spacing w:after="60"/>
        <w:ind w:left="720" w:hanging="360"/>
      </w:pPr>
      <w:r>
        <w:rPr>
          <w:rFonts w:cs="Times New Roman"/>
        </w:rPr>
        <w:t>•  The service is run locally by a trusted operator; there is no hostile client, and the demo accounts are the only users.</w:t>
      </w:r>
    </w:p>
    <w:p w:rsidR="007610FF" w:rsidRDefault="0018171B">
      <w:pPr>
        <w:spacing w:after="60"/>
        <w:ind w:left="720" w:hanging="360"/>
      </w:pPr>
      <w:r>
        <w:rPr>
          <w:rFonts w:cs="Times New Roman"/>
        </w:rPr>
        <w:t xml:space="preserve">•  A clinician reviews every priority before it is acted on; the system </w:t>
      </w:r>
      <w:r>
        <w:rPr>
          <w:rFonts w:cs="Times New Roman"/>
        </w:rPr>
        <w:t>never replaces that review.</w:t>
      </w:r>
    </w:p>
    <w:p w:rsidR="007610FF" w:rsidRDefault="0018171B">
      <w:pPr>
        <w:pStyle w:val="Heading1"/>
        <w:pageBreakBefore/>
      </w:pPr>
      <w:r>
        <w:lastRenderedPageBreak/>
        <w:t>3. LIMITATIONS</w:t>
      </w:r>
    </w:p>
    <w:p w:rsidR="007610FF" w:rsidRDefault="0018171B">
      <w:pPr>
        <w:pStyle w:val="Heading2"/>
      </w:pPr>
      <w:r>
        <w:t>Data and model limitations</w:t>
      </w:r>
    </w:p>
    <w:p w:rsidR="007610FF" w:rsidRDefault="0018171B">
      <w:pPr>
        <w:spacing w:after="60"/>
        <w:ind w:left="720" w:hanging="360"/>
      </w:pPr>
      <w:r>
        <w:rPr>
          <w:rFonts w:cs="Times New Roman"/>
        </w:rPr>
        <w:t xml:space="preserve">•  </w:t>
      </w:r>
      <w:r>
        <w:rPr>
          <w:rFonts w:cs="Times New Roman"/>
          <w:b/>
        </w:rPr>
        <w:t>All model results are on synthetic data.</w:t>
      </w:r>
      <w:r>
        <w:rPr>
          <w:rFonts w:cs="Times New Roman"/>
        </w:rPr>
        <w:t xml:space="preserve"> The 69.4% exact accuracy measures how well XGBoost recovers a known additive rule from 3,840 simulated cases; it says nothing about agreement </w:t>
      </w:r>
      <w:r>
        <w:rPr>
          <w:rFonts w:cs="Times New Roman"/>
        </w:rPr>
        <w:t>with clinicians. A noise ceiling of 86.25% caps exact accuracy for any model, and the shipped split (seed 7307) is a below-average split: five other seeds give 71.6% on average (sd 0.9 points).</w:t>
      </w:r>
    </w:p>
    <w:p w:rsidR="007610FF" w:rsidRDefault="0018171B">
      <w:pPr>
        <w:spacing w:after="60"/>
        <w:ind w:left="720" w:hanging="360"/>
      </w:pPr>
      <w:r>
        <w:rPr>
          <w:rFonts w:cs="Times New Roman"/>
        </w:rPr>
        <w:t xml:space="preserve">•  </w:t>
      </w:r>
      <w:r>
        <w:rPr>
          <w:rFonts w:cs="Times New Roman"/>
          <w:b/>
        </w:rPr>
        <w:t>The sickest patients are under-triaged most often.</w:t>
      </w:r>
      <w:r>
        <w:rPr>
          <w:rFonts w:cs="Times New Roman"/>
        </w:rPr>
        <w:t xml:space="preserve"> Recall f</w:t>
      </w:r>
      <w:r>
        <w:rPr>
          <w:rFonts w:cs="Times New Roman"/>
        </w:rPr>
        <w:t>or priority 1 is 43.9% and for priority 2 54.0%; for the combined high-risk group (P1 and P2) recall is 66.2% at argmax with precision 90.6%. Overall 21.3% of cases get a less urgent priority than recorded and 9.2% a more urgent one; 2 of 66 priority-1 cas</w:t>
      </w:r>
      <w:r>
        <w:rPr>
          <w:rFonts w:cs="Times New Roman"/>
        </w:rPr>
        <w:t>es were placed at priority 3 or lower urgency, none at 4 or 5.</w:t>
      </w:r>
    </w:p>
    <w:p w:rsidR="007610FF" w:rsidRDefault="0018171B">
      <w:pPr>
        <w:spacing w:after="60"/>
        <w:ind w:left="720" w:hanging="360"/>
      </w:pPr>
      <w:r>
        <w:rPr>
          <w:rFonts w:cs="Times New Roman"/>
        </w:rPr>
        <w:t xml:space="preserve">•  </w:t>
      </w:r>
      <w:r>
        <w:rPr>
          <w:rFonts w:cs="Times New Roman"/>
          <w:b/>
        </w:rPr>
        <w:t>A linear model beats the shipped model on this data.</w:t>
      </w:r>
      <w:r>
        <w:rPr>
          <w:rFonts w:cs="Times New Roman"/>
        </w:rPr>
        <w:t xml:space="preserve"> Logistic regression scores 72.42% against 68.25% for uncalibrated XGBoost on the same split, because the labels come from an additive sco</w:t>
      </w:r>
      <w:r>
        <w:rPr>
          <w:rFonts w:cs="Times New Roman"/>
        </w:rPr>
        <w:t>re. XGBoost was kept for SHAP tree explanations and calibration, not because it won.</w:t>
      </w:r>
    </w:p>
    <w:p w:rsidR="007610FF" w:rsidRDefault="0018171B">
      <w:pPr>
        <w:spacing w:after="60"/>
        <w:ind w:left="720" w:hanging="360"/>
      </w:pPr>
      <w:r>
        <w:rPr>
          <w:rFonts w:cs="Times New Roman"/>
        </w:rPr>
        <w:t xml:space="preserve">•  </w:t>
      </w:r>
      <w:r>
        <w:rPr>
          <w:rFonts w:cs="Times New Roman"/>
          <w:b/>
        </w:rPr>
        <w:t>Calibration improves only modestly.</w:t>
      </w:r>
      <w:r>
        <w:rPr>
          <w:rFonts w:cs="Times New Roman"/>
        </w:rPr>
        <w:t xml:space="preserve"> Expected calibration error falls from 0.047 to 0.041; the 0.8 to 0.9 confidence bin is over-confident (66% observed accuracy), so a </w:t>
      </w:r>
      <w:r>
        <w:rPr>
          <w:rFonts w:cs="Times New Roman"/>
        </w:rPr>
        <w:t>confidence figure must not be read as a probability of being right.</w:t>
      </w:r>
    </w:p>
    <w:p w:rsidR="007610FF" w:rsidRDefault="0018171B">
      <w:pPr>
        <w:spacing w:after="60"/>
        <w:ind w:left="720" w:hanging="360"/>
      </w:pPr>
      <w:r>
        <w:rPr>
          <w:rFonts w:cs="Times New Roman"/>
        </w:rPr>
        <w:t xml:space="preserve">•  </w:t>
      </w:r>
      <w:r>
        <w:rPr>
          <w:rFonts w:cs="Times New Roman"/>
          <w:b/>
        </w:rPr>
        <w:t>Missing report findings are costly.</w:t>
      </w:r>
      <w:r>
        <w:rPr>
          <w:rFonts w:cs="Times New Roman"/>
        </w:rPr>
        <w:t xml:space="preserve"> If 10% of positive report flags are dropped, accuracy falls to 66.2%; at 20% to 62.1%; with no report at all to 33.9% (within one level 70.4%).</w:t>
      </w:r>
    </w:p>
    <w:p w:rsidR="007610FF" w:rsidRDefault="0018171B">
      <w:pPr>
        <w:pStyle w:val="Heading2"/>
      </w:pPr>
      <w:r>
        <w:t>Repor</w:t>
      </w:r>
      <w:r>
        <w:t>t-reader limitations</w:t>
      </w:r>
    </w:p>
    <w:p w:rsidR="007610FF" w:rsidRDefault="0018171B">
      <w:pPr>
        <w:spacing w:after="60"/>
        <w:ind w:left="720" w:hanging="360"/>
      </w:pPr>
      <w:r>
        <w:rPr>
          <w:rFonts w:cs="Times New Roman"/>
        </w:rPr>
        <w:t xml:space="preserve">•  </w:t>
      </w:r>
      <w:r>
        <w:rPr>
          <w:rFonts w:cs="Times New Roman"/>
          <w:b/>
        </w:rPr>
        <w:t>Perfect scores on the samples are not a result.</w:t>
      </w:r>
      <w:r>
        <w:rPr>
          <w:rFonts w:cs="Times New Roman"/>
        </w:rPr>
        <w:t xml:space="preserve"> The 12 generated sample reports are read exactly (12 of 12, precision and recall 100%) because they were written with the lexicon in view.</w:t>
      </w:r>
    </w:p>
    <w:p w:rsidR="007610FF" w:rsidRDefault="0018171B">
      <w:pPr>
        <w:spacing w:after="60"/>
        <w:ind w:left="720" w:hanging="360"/>
      </w:pPr>
      <w:r>
        <w:rPr>
          <w:rFonts w:cs="Times New Roman"/>
        </w:rPr>
        <w:t xml:space="preserve">•  </w:t>
      </w:r>
      <w:r>
        <w:rPr>
          <w:rFonts w:cs="Times New Roman"/>
          <w:b/>
        </w:rPr>
        <w:t>On 40 hand-written fragments</w:t>
      </w:r>
      <w:r>
        <w:rPr>
          <w:rFonts w:cs="Times New Roman"/>
        </w:rPr>
        <w:t xml:space="preserve"> the reader re</w:t>
      </w:r>
      <w:r>
        <w:rPr>
          <w:rFonts w:cs="Times New Roman"/>
        </w:rPr>
        <w:t xml:space="preserve">aches precision 95.2% and recall 84.3%, with 27 of 40 fragments read exactly. Paraphrases outside the lexicon ("cannot catch his breath", "crushing pain in the centre of the chest") reach only </w:t>
      </w:r>
      <w:r>
        <w:rPr>
          <w:rFonts w:cs="Times New Roman"/>
        </w:rPr>
        <w:lastRenderedPageBreak/>
        <w:t xml:space="preserve">14.3% recall; the fragments were written by the developers, so </w:t>
      </w:r>
      <w:r>
        <w:rPr>
          <w:rFonts w:cs="Times New Roman"/>
        </w:rPr>
        <w:t>this is not independent clinical text.</w:t>
      </w:r>
    </w:p>
    <w:p w:rsidR="007610FF" w:rsidRDefault="0018171B">
      <w:pPr>
        <w:spacing w:after="60"/>
        <w:ind w:left="720" w:hanging="360"/>
      </w:pPr>
      <w:r>
        <w:rPr>
          <w:rFonts w:cs="Times New Roman"/>
        </w:rPr>
        <w:t xml:space="preserve">•  </w:t>
      </w:r>
      <w:r>
        <w:rPr>
          <w:rFonts w:cs="Times New Roman"/>
          <w:b/>
        </w:rPr>
        <w:t>Negation is the weakest category</w:t>
      </w:r>
      <w:r>
        <w:rPr>
          <w:rFonts w:cs="Times New Roman"/>
        </w:rPr>
        <w:t xml:space="preserve"> (precision 50% on the stress set): "Afebrile" is read as fever, "Chest pain: absent" still flags chest pain, "denies syncope but reports chest tightness" drops the chest pain becaus</w:t>
      </w:r>
      <w:r>
        <w:rPr>
          <w:rFonts w:cs="Times New Roman"/>
        </w:rPr>
        <w:t>e the 45-character window ignores "but" (one expected-failure test records this), and "haematemesis" also triggers vomiting.</w:t>
      </w:r>
    </w:p>
    <w:p w:rsidR="007610FF" w:rsidRDefault="0018171B">
      <w:pPr>
        <w:spacing w:after="60"/>
        <w:ind w:left="720" w:hanging="360"/>
      </w:pPr>
      <w:r>
        <w:rPr>
          <w:rFonts w:cs="Times New Roman"/>
        </w:rPr>
        <w:t xml:space="preserve">•  </w:t>
      </w:r>
      <w:r>
        <w:rPr>
          <w:rFonts w:cs="Times New Roman"/>
          <w:b/>
        </w:rPr>
        <w:t>OCR quality is untested on real scans.</w:t>
      </w:r>
      <w:r>
        <w:rPr>
          <w:rFonts w:cs="Times New Roman"/>
        </w:rPr>
        <w:t xml:space="preserve"> Only four generated PNG scans were read; handwriting, stamps, tables, multi-column layout</w:t>
      </w:r>
      <w:r>
        <w:rPr>
          <w:rFonts w:cs="Times New Roman"/>
        </w:rPr>
        <w:t>s and low-resolution phone photographs were not tried. Split words from OCR ("vomit ing") are missed.</w:t>
      </w:r>
    </w:p>
    <w:p w:rsidR="007610FF" w:rsidRDefault="0018171B">
      <w:pPr>
        <w:spacing w:after="60"/>
        <w:ind w:left="720" w:hanging="360"/>
      </w:pPr>
      <w:r>
        <w:rPr>
          <w:rFonts w:cs="Times New Roman"/>
        </w:rPr>
        <w:t xml:space="preserve">•  </w:t>
      </w:r>
      <w:r>
        <w:rPr>
          <w:rFonts w:cs="Times New Roman"/>
          <w:b/>
        </w:rPr>
        <w:t>The lexicon is English-only and fixed</w:t>
      </w:r>
      <w:r>
        <w:rPr>
          <w:rFonts w:cs="Times New Roman"/>
        </w:rPr>
        <w:t>: 22 flags and six laboratory tests, with adult reference ranges.</w:t>
      </w:r>
    </w:p>
    <w:p w:rsidR="007610FF" w:rsidRDefault="0018171B">
      <w:pPr>
        <w:pStyle w:val="Heading2"/>
      </w:pPr>
      <w:r>
        <w:t>System and security limitations</w:t>
      </w:r>
    </w:p>
    <w:p w:rsidR="007610FF" w:rsidRDefault="0018171B">
      <w:pPr>
        <w:spacing w:after="60"/>
        <w:ind w:left="720" w:hanging="360"/>
      </w:pPr>
      <w:r>
        <w:rPr>
          <w:rFonts w:cs="Times New Roman"/>
        </w:rPr>
        <w:t xml:space="preserve">•  </w:t>
      </w:r>
      <w:r>
        <w:rPr>
          <w:rFonts w:cs="Times New Roman"/>
          <w:b/>
        </w:rPr>
        <w:t>Demo-grade se</w:t>
      </w:r>
      <w:r>
        <w:rPr>
          <w:rFonts w:cs="Times New Roman"/>
          <w:b/>
        </w:rPr>
        <w:t>curity.</w:t>
      </w:r>
      <w:r>
        <w:rPr>
          <w:rFonts w:cs="Times New Roman"/>
        </w:rPr>
        <w:t xml:space="preserve"> The JWT secret defaults to </w:t>
      </w:r>
      <w:r>
        <w:rPr>
          <w:rFonts w:ascii="Consolas" w:eastAsia="Consolas" w:hAnsi="Consolas" w:cs="Consolas"/>
          <w:sz w:val="21"/>
        </w:rPr>
        <w:t>dev-secret-change-me</w:t>
      </w:r>
      <w:r>
        <w:rPr>
          <w:rFonts w:cs="Times New Roman"/>
        </w:rPr>
        <w:t xml:space="preserve"> when </w:t>
      </w:r>
      <w:r>
        <w:rPr>
          <w:rFonts w:ascii="Consolas" w:eastAsia="Consolas" w:hAnsi="Consolas" w:cs="Consolas"/>
          <w:sz w:val="21"/>
        </w:rPr>
        <w:t>JWT_SECRET</w:t>
      </w:r>
      <w:r>
        <w:rPr>
          <w:rFonts w:cs="Times New Roman"/>
        </w:rPr>
        <w:t xml:space="preserve"> is not set (PyJWT warns that the key is 22 bytes), there is no HTTPS, no rate limiting, CORS is fixed to localhost origins, and the two demo passwords are seeded. Passwords are bcrypt-</w:t>
      </w:r>
      <w:r>
        <w:rPr>
          <w:rFonts w:cs="Times New Roman"/>
        </w:rPr>
        <w:t>hashed and every patient route needs a token.</w:t>
      </w:r>
    </w:p>
    <w:p w:rsidR="007610FF" w:rsidRDefault="0018171B">
      <w:pPr>
        <w:spacing w:after="60"/>
        <w:ind w:left="720" w:hanging="360"/>
      </w:pPr>
      <w:r>
        <w:rPr>
          <w:rFonts w:cs="Times New Roman"/>
        </w:rPr>
        <w:t xml:space="preserve">•  </w:t>
      </w:r>
      <w:r>
        <w:rPr>
          <w:rFonts w:cs="Times New Roman"/>
          <w:b/>
        </w:rPr>
        <w:t>No audit beyond overrides.</w:t>
      </w:r>
      <w:r>
        <w:rPr>
          <w:rFonts w:cs="Times New Roman"/>
        </w:rPr>
        <w:t xml:space="preserve"> Who viewed or downloaded what is not logged.</w:t>
      </w:r>
    </w:p>
    <w:p w:rsidR="007610FF" w:rsidRDefault="0018171B">
      <w:pPr>
        <w:spacing w:after="60"/>
        <w:ind w:left="720" w:hanging="360"/>
      </w:pPr>
      <w:r>
        <w:rPr>
          <w:rFonts w:cs="Times New Roman"/>
        </w:rPr>
        <w:t xml:space="preserve">•  </w:t>
      </w:r>
      <w:r>
        <w:rPr>
          <w:rFonts w:cs="Times New Roman"/>
          <w:b/>
        </w:rPr>
        <w:t>SQLite and one process.</w:t>
      </w:r>
      <w:r>
        <w:rPr>
          <w:rFonts w:cs="Times New Roman"/>
        </w:rPr>
        <w:t xml:space="preserve"> No concurrency, no migrations, no backup; the performance page's live averages come from this one database.</w:t>
      </w:r>
    </w:p>
    <w:p w:rsidR="007610FF" w:rsidRDefault="0018171B">
      <w:pPr>
        <w:spacing w:after="60"/>
        <w:ind w:left="720" w:hanging="360"/>
      </w:pPr>
      <w:r>
        <w:rPr>
          <w:rFonts w:cs="Times New Roman"/>
        </w:rPr>
        <w:t xml:space="preserve">•  </w:t>
      </w:r>
      <w:r>
        <w:rPr>
          <w:rFonts w:cs="Times New Roman"/>
          <w:b/>
        </w:rPr>
        <w:t>Vitals are typed.</w:t>
      </w:r>
      <w:r>
        <w:rPr>
          <w:rFonts w:cs="Times New Roman"/>
        </w:rPr>
        <w:t xml:space="preserve"> There is no feed from a monitor, and the validation ranges (for example SpO2 50 to 100) are permissive.</w:t>
      </w:r>
    </w:p>
    <w:p w:rsidR="007610FF" w:rsidRDefault="0018171B">
      <w:pPr>
        <w:spacing w:after="60"/>
        <w:ind w:left="720" w:hanging="360"/>
      </w:pPr>
      <w:r>
        <w:rPr>
          <w:rFonts w:cs="Times New Roman"/>
        </w:rPr>
        <w:t xml:space="preserve">•  </w:t>
      </w:r>
      <w:r>
        <w:rPr>
          <w:rFonts w:cs="Times New Roman"/>
          <w:b/>
        </w:rPr>
        <w:t>Latency is measured on one CPU-only machine</w:t>
      </w:r>
      <w:r>
        <w:rPr>
          <w:rFonts w:cs="Times New Roman"/>
        </w:rPr>
        <w:t>: scanned images take about 2.2 s to read, PDFs about 9 ms.</w:t>
      </w:r>
    </w:p>
    <w:p w:rsidR="007610FF" w:rsidRDefault="0018171B">
      <w:pPr>
        <w:pStyle w:val="Heading2"/>
      </w:pPr>
      <w:r>
        <w:t>Evaluation limitations</w:t>
      </w:r>
    </w:p>
    <w:p w:rsidR="007610FF" w:rsidRDefault="0018171B">
      <w:pPr>
        <w:spacing w:after="60"/>
        <w:ind w:left="720" w:hanging="360"/>
      </w:pPr>
      <w:r>
        <w:rPr>
          <w:rFonts w:cs="Times New Roman"/>
        </w:rPr>
        <w:t>•  One synthetic data set from one generator; no real hold-out; no significance tests; no confidence intervals beyond the five-seed and five-fold spread.</w:t>
      </w:r>
    </w:p>
    <w:p w:rsidR="007610FF" w:rsidRDefault="0018171B">
      <w:pPr>
        <w:spacing w:after="60"/>
        <w:ind w:left="720" w:hanging="360"/>
      </w:pPr>
      <w:r>
        <w:rPr>
          <w:rFonts w:cs="Times New Roman"/>
        </w:rPr>
        <w:t>•  The comparison with the base paper is indicative only: it diagnoses ICD-10 classes on real records,</w:t>
      </w:r>
      <w:r>
        <w:rPr>
          <w:rFonts w:cs="Times New Roman"/>
        </w:rPr>
        <w:t xml:space="preserve"> ATHENA assigns five priorities on synthetic ones.</w:t>
      </w:r>
    </w:p>
    <w:p w:rsidR="007610FF" w:rsidRDefault="0018171B">
      <w:pPr>
        <w:spacing w:after="60"/>
        <w:ind w:left="720" w:hanging="360"/>
      </w:pPr>
      <w:r>
        <w:rPr>
          <w:rFonts w:cs="Times New Roman"/>
        </w:rPr>
        <w:t>•  No clinician took part: no usability study, no inter-rater comparison with nurses, no prospective trial.</w:t>
      </w:r>
    </w:p>
    <w:p w:rsidR="007610FF" w:rsidRDefault="0018171B">
      <w:r>
        <w:rPr>
          <w:rFonts w:cs="Times New Roman"/>
        </w:rPr>
        <w:lastRenderedPageBreak/>
        <w:t>Two figures show the limitations that matter most for reading the numbers. The first shows how ac</w:t>
      </w:r>
      <w:r>
        <w:rPr>
          <w:rFonts w:cs="Times New Roman"/>
        </w:rPr>
        <w:t>curacy falls when the report reader misses findings: with no report at all the model is close to the vitals-only result. The second shows how well the report reader does on 40 hand-written fragments, by category: negation and paraphrases are its weak point</w:t>
      </w:r>
      <w:r>
        <w:rPr>
          <w:rFonts w:cs="Times New Roman"/>
        </w:rPr>
        <w:t>s.</w:t>
      </w:r>
    </w:p>
    <w:p w:rsidR="007610FF" w:rsidRDefault="0018171B">
      <w:pPr>
        <w:keepNext/>
        <w:spacing w:after="80" w:line="240" w:lineRule="auto"/>
        <w:jc w:val="center"/>
      </w:pPr>
      <w:r>
        <w:rPr>
          <w:noProof/>
        </w:rPr>
        <w:drawing>
          <wp:inline distT="0" distB="0" distL="0" distR="0">
            <wp:extent cx="5120640" cy="3600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robustness_dropped_flags.png"/>
                    <pic:cNvPicPr/>
                  </pic:nvPicPr>
                  <pic:blipFill>
                    <a:blip r:embed="rId8"/>
                    <a:stretch>
                      <a:fillRect/>
                    </a:stretch>
                  </pic:blipFill>
                  <pic:spPr>
                    <a:xfrm>
                      <a:off x="0" y="0"/>
                      <a:ext cx="5120640" cy="3600177"/>
                    </a:xfrm>
                    <a:prstGeom prst="rect">
                      <a:avLst/>
                    </a:prstGeom>
                  </pic:spPr>
                </pic:pic>
              </a:graphicData>
            </a:graphic>
          </wp:inline>
        </w:drawing>
      </w:r>
    </w:p>
    <w:p w:rsidR="007610FF" w:rsidRDefault="0018171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Accuracy of the shipped model on the synthetic hold-out when a share of positive report flags is dropped at inference.</w:t>
      </w:r>
    </w:p>
    <w:p w:rsidR="007610FF" w:rsidRDefault="0018171B">
      <w:pPr>
        <w:keepNext/>
        <w:spacing w:after="80" w:line="240" w:lineRule="auto"/>
        <w:jc w:val="center"/>
      </w:pPr>
      <w:r>
        <w:rPr>
          <w:noProof/>
        </w:rPr>
        <w:drawing>
          <wp:inline distT="0" distB="0" distL="0" distR="0">
            <wp:extent cx="4937760" cy="2998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reader_stress_by_category.png"/>
                    <pic:cNvPicPr/>
                  </pic:nvPicPr>
                  <pic:blipFill>
                    <a:blip r:embed="rId9"/>
                    <a:stretch>
                      <a:fillRect/>
                    </a:stretch>
                  </pic:blipFill>
                  <pic:spPr>
                    <a:xfrm>
                      <a:off x="0" y="0"/>
                      <a:ext cx="4937760" cy="2998444"/>
                    </a:xfrm>
                    <a:prstGeom prst="rect">
                      <a:avLst/>
                    </a:prstGeom>
                  </pic:spPr>
                </pic:pic>
              </a:graphicData>
            </a:graphic>
          </wp:inline>
        </w:drawing>
      </w:r>
    </w:p>
    <w:p w:rsidR="007610FF" w:rsidRDefault="0018171B">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Precision and recall of the rule-based report reader on 40 </w:t>
      </w:r>
      <w:r>
        <w:rPr>
          <w:rFonts w:cs="Times New Roman"/>
        </w:rPr>
        <w:t>hand-written fragments, by category.</w:t>
      </w:r>
    </w:p>
    <w:p w:rsidR="007610FF" w:rsidRDefault="0018171B">
      <w:pPr>
        <w:pStyle w:val="Heading1"/>
        <w:pageBreakBefore/>
      </w:pPr>
      <w:r>
        <w:lastRenderedPageBreak/>
        <w:t>4. WHAT WAS NOT MEASURED</w:t>
      </w:r>
    </w:p>
    <w:p w:rsidR="007610FF" w:rsidRDefault="0018171B">
      <w:r>
        <w:rPr>
          <w:rFonts w:cs="Times New Roman"/>
        </w:rPr>
        <w:t>The following were not measured and are therefore stated as gaps, not as results.</w:t>
      </w:r>
    </w:p>
    <w:p w:rsidR="007610FF" w:rsidRDefault="0018171B">
      <w:pPr>
        <w:spacing w:after="60"/>
        <w:ind w:left="720" w:hanging="360"/>
      </w:pPr>
      <w:r>
        <w:rPr>
          <w:rFonts w:cs="Times New Roman"/>
        </w:rPr>
        <w:t>•  Agreement with clinician-assigned priority on real patients (objective 6 is met only against the synthetic re</w:t>
      </w:r>
      <w:r>
        <w:rPr>
          <w:rFonts w:cs="Times New Roman"/>
        </w:rPr>
        <w:t>corded priority).</w:t>
      </w:r>
    </w:p>
    <w:p w:rsidR="007610FF" w:rsidRDefault="0018171B">
      <w:pPr>
        <w:spacing w:after="60"/>
        <w:ind w:left="720" w:hanging="360"/>
      </w:pPr>
      <w:r>
        <w:rPr>
          <w:rFonts w:cs="Times New Roman"/>
        </w:rPr>
        <w:t>•  Reading accuracy on real scanned reports of varied quality, languages and layouts, or against a second reader.</w:t>
      </w:r>
    </w:p>
    <w:p w:rsidR="007610FF" w:rsidRDefault="0018171B">
      <w:pPr>
        <w:spacing w:after="60"/>
        <w:ind w:left="720" w:hanging="360"/>
      </w:pPr>
      <w:r>
        <w:rPr>
          <w:rFonts w:cs="Times New Roman"/>
        </w:rPr>
        <w:t>•  Performance on any real triage data set, including the Kaggle set the download script targets (the script was never run a</w:t>
      </w:r>
      <w:r>
        <w:rPr>
          <w:rFonts w:cs="Times New Roman"/>
        </w:rPr>
        <w:t>nd its licence is not stated).</w:t>
      </w:r>
    </w:p>
    <w:p w:rsidR="007610FF" w:rsidRDefault="0018171B">
      <w:pPr>
        <w:spacing w:after="60"/>
        <w:ind w:left="720" w:hanging="360"/>
      </w:pPr>
      <w:r>
        <w:rPr>
          <w:rFonts w:cs="Times New Roman"/>
        </w:rPr>
        <w:t>•  Usability, workload and time saved for nurses, and the rate at which clinicians change the model's priority (the performance page can show it, but no clinician used the system).</w:t>
      </w:r>
    </w:p>
    <w:p w:rsidR="007610FF" w:rsidRDefault="0018171B">
      <w:pPr>
        <w:spacing w:after="60"/>
        <w:ind w:left="720" w:hanging="360"/>
      </w:pPr>
      <w:r>
        <w:rPr>
          <w:rFonts w:cs="Times New Roman"/>
        </w:rPr>
        <w:t>•  Behaviour under concurrent users, large q</w:t>
      </w:r>
      <w:r>
        <w:rPr>
          <w:rFonts w:cs="Times New Roman"/>
        </w:rPr>
        <w:t>ueues, long uptime and database growth.</w:t>
      </w:r>
    </w:p>
    <w:p w:rsidR="007610FF" w:rsidRDefault="0018171B">
      <w:pPr>
        <w:spacing w:after="60"/>
        <w:ind w:left="720" w:hanging="360"/>
      </w:pPr>
      <w:r>
        <w:rPr>
          <w:rFonts w:cs="Times New Roman"/>
        </w:rPr>
        <w:t>•  Memory and energy use of the OCR engine and the model.</w:t>
      </w:r>
    </w:p>
    <w:p w:rsidR="007610FF" w:rsidRDefault="0018171B">
      <w:pPr>
        <w:spacing w:after="60"/>
        <w:ind w:left="720" w:hanging="360"/>
      </w:pPr>
      <w:r>
        <w:rPr>
          <w:rFonts w:cs="Times New Roman"/>
        </w:rPr>
        <w:t>•  Robustness to adversarial or deliberately misleading reports, and security testing beyond the checks in Chapter 7.</w:t>
      </w:r>
    </w:p>
    <w:p w:rsidR="007610FF" w:rsidRDefault="0018171B">
      <w:pPr>
        <w:spacing w:after="60"/>
        <w:ind w:left="720" w:hanging="360"/>
      </w:pPr>
      <w:r>
        <w:rPr>
          <w:rFonts w:cs="Times New Roman"/>
        </w:rPr>
        <w:t xml:space="preserve">•  A fresh-machine run of </w:t>
      </w:r>
      <w:r>
        <w:rPr>
          <w:rFonts w:ascii="Consolas" w:eastAsia="Consolas" w:hAnsi="Consolas" w:cs="Consolas"/>
          <w:sz w:val="21"/>
        </w:rPr>
        <w:t>setup.bat</w:t>
      </w:r>
      <w:r>
        <w:rPr>
          <w:rFonts w:cs="Times New Roman"/>
        </w:rPr>
        <w:t xml:space="preserve"> and </w:t>
      </w:r>
      <w:r>
        <w:rPr>
          <w:rFonts w:cs="Times New Roman"/>
        </w:rPr>
        <w:t>of the Kaggle download script; neither was tested in this documentation run.</w:t>
      </w:r>
    </w:p>
    <w:p w:rsidR="007610FF" w:rsidRDefault="0018171B">
      <w:pPr>
        <w:spacing w:after="60"/>
        <w:ind w:left="720" w:hanging="360"/>
      </w:pPr>
      <w:r>
        <w:rPr>
          <w:rFonts w:cs="Times New Roman"/>
        </w:rPr>
        <w:t>•  Statistical significance of differences between the eight models.</w:t>
      </w:r>
    </w:p>
    <w:sectPr w:rsidR="007610FF"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8171B">
      <w:pPr>
        <w:spacing w:after="0" w:line="240" w:lineRule="auto"/>
      </w:pPr>
      <w:r>
        <w:separator/>
      </w:r>
    </w:p>
  </w:endnote>
  <w:endnote w:type="continuationSeparator" w:id="0">
    <w:p w:rsidR="00000000" w:rsidRDefault="00181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10FF" w:rsidRDefault="0018171B">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8171B">
      <w:pPr>
        <w:spacing w:after="0" w:line="240" w:lineRule="auto"/>
      </w:pPr>
      <w:r>
        <w:separator/>
      </w:r>
    </w:p>
  </w:footnote>
  <w:footnote w:type="continuationSeparator" w:id="0">
    <w:p w:rsidR="00000000" w:rsidRDefault="00181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10FF" w:rsidRDefault="0018171B">
    <w:pPr>
      <w:pStyle w:val="Header"/>
      <w:jc w:val="center"/>
    </w:pPr>
    <w:r>
      <w:rPr>
        <w:rFonts w:cs="Times New Roman"/>
        <w:i/>
        <w:color w:val="555555"/>
        <w:sz w:val="20"/>
      </w:rPr>
      <w:t xml:space="preserve">ATHENA  |  Scope and </w:t>
    </w:r>
    <w:r>
      <w:rPr>
        <w:rFonts w:cs="Times New Roman"/>
        <w:i/>
        <w:color w:val="555555"/>
        <w:sz w:val="20"/>
      </w:rPr>
      <w:t>Limitations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71B"/>
    <w:rsid w:val="0029639D"/>
    <w:rsid w:val="00326F90"/>
    <w:rsid w:val="007610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C10BF27B-7BB4-4AA4-BF18-2AC1FA304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18171B"/>
    <w:pPr>
      <w:spacing w:after="0" w:line="240" w:lineRule="auto"/>
    </w:pPr>
    <w:rPr>
      <w:rFonts w:cs="Times New Roman"/>
      <w:sz w:val="21"/>
    </w:rPr>
  </w:style>
  <w:style w:type="paragraph" w:styleId="TOC2">
    <w:name w:val="toc 2"/>
    <w:basedOn w:val="Normal"/>
    <w:next w:val="Normal"/>
    <w:autoRedefine/>
    <w:uiPriority w:val="39"/>
    <w:semiHidden/>
    <w:unhideWhenUsed/>
    <w:rsid w:val="0018171B"/>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18171B"/>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2D5064-F809-437E-8804-D9637809E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1484</Words>
  <Characters>7890</Characters>
  <Application>Microsoft Office Word</Application>
  <DocSecurity>0</DocSecurity>
  <Lines>194</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2026-10-26T05:53:00Z</dcterms:modified>
  <cp:category/>
</cp:coreProperties>
</file>