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533" w:rsidRDefault="003F0533">
      <w:pPr>
        <w:spacing w:after="480" w:line="240" w:lineRule="auto"/>
      </w:pPr>
      <w:bookmarkStart w:id="0" w:name="_GoBack"/>
      <w:bookmarkEnd w:id="0"/>
    </w:p>
    <w:p w:rsidR="003F0533" w:rsidRDefault="006D7D75">
      <w:pPr>
        <w:jc w:val="center"/>
      </w:pPr>
      <w:r>
        <w:rPr>
          <w:rFonts w:cs="Times New Roman"/>
          <w:b/>
          <w:sz w:val="36"/>
        </w:rPr>
        <w:t>ATHENA - AUTONOMOUS TRIAGE AND HEALTHCARE ELECTRONIC NEURAL ASSISTANT</w:t>
      </w:r>
    </w:p>
    <w:p w:rsidR="003F0533" w:rsidRDefault="006D7D75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3F0533" w:rsidRDefault="006D7D75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3F0533" w:rsidRDefault="006D7D75">
      <w:pPr>
        <w:spacing w:after="240"/>
        <w:jc w:val="center"/>
      </w:pPr>
      <w:r>
        <w:rPr>
          <w:rFonts w:cs="Times New Roman"/>
        </w:rPr>
        <w:t>Batch A7 (CSE-A)  ·  Academic year [ACADEMIC YEAR]</w:t>
      </w:r>
    </w:p>
    <w:p w:rsidR="003F0533" w:rsidRDefault="006D7D75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3F0533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Badaveni Srinath</w:t>
            </w:r>
          </w:p>
        </w:tc>
        <w:tc>
          <w:tcPr>
            <w:tcW w:w="2592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23K91A0523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Basani Avinash</w:t>
            </w:r>
          </w:p>
        </w:tc>
        <w:tc>
          <w:tcPr>
            <w:tcW w:w="2592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23K91A0532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Degala Praneeth</w:t>
            </w:r>
          </w:p>
        </w:tc>
        <w:tc>
          <w:tcPr>
            <w:tcW w:w="2592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23K91A0561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Bontha Saisree</w:t>
            </w:r>
          </w:p>
        </w:tc>
        <w:tc>
          <w:tcPr>
            <w:tcW w:w="2592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23K91A0545</w:t>
            </w:r>
          </w:p>
        </w:tc>
      </w:tr>
    </w:tbl>
    <w:p w:rsidR="003F0533" w:rsidRDefault="003F0533">
      <w:pPr>
        <w:spacing w:line="192" w:lineRule="auto"/>
      </w:pPr>
    </w:p>
    <w:p w:rsidR="003F0533" w:rsidRDefault="006D7D75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K. Shalini</w:t>
      </w:r>
    </w:p>
    <w:p w:rsidR="003F0533" w:rsidRDefault="006D7D75">
      <w:r>
        <w:rPr>
          <w:rFonts w:cs="Times New Roman"/>
          <w:i/>
          <w:sz w:val="21"/>
        </w:rPr>
        <w:t xml:space="preserve">Chapter and section numbers </w:t>
      </w:r>
      <w:r>
        <w:rPr>
          <w:rFonts w:cs="Times New Roman"/>
          <w:i/>
          <w:sz w:val="21"/>
        </w:rPr>
        <w:t>quoted in the text (for example Chapter 8 or Section 6.2) refer to the full project report, 17.Final Document. Figures and tables in this document are numbered from 1.</w:t>
      </w:r>
    </w:p>
    <w:p w:rsidR="003F0533" w:rsidRDefault="006D7D75">
      <w:pPr>
        <w:pStyle w:val="Heading1"/>
      </w:pPr>
      <w:r>
        <w:t>1. CONCLUSION</w:t>
      </w:r>
    </w:p>
    <w:p w:rsidR="003F0533" w:rsidRDefault="006D7D75">
      <w:pPr>
        <w:pStyle w:val="Heading2"/>
      </w:pPr>
      <w:r>
        <w:t>1.1 Summary of the work</w:t>
      </w:r>
    </w:p>
    <w:p w:rsidR="003F0533" w:rsidRDefault="006D7D75">
      <w:r>
        <w:rPr>
          <w:rFonts w:cs="Times New Roman"/>
        </w:rPr>
        <w:t>This project built ATHENA, a decision-support tool</w:t>
      </w:r>
      <w:r>
        <w:rPr>
          <w:rFonts w:cs="Times New Roman"/>
        </w:rPr>
        <w:t xml:space="preserve"> for emergency departments. It reads a scanned clinical report (PDF text layer or local OCR), parses symptoms, findings, history and six laboratory values with a lexicon that handles negation, fuses them with eight vitals into 36 inputs, and uses an isoton</w:t>
      </w:r>
      <w:r>
        <w:rPr>
          <w:rFonts w:cs="Times New Roman"/>
        </w:rPr>
        <w:t>ic-calibrated XGBoost to give a triage priority from 1 to 5, a risk level and a calibrated confidence. Per-patient SHAP shows the strongest drivers, a clinician accepts or changes the priority with a reason, and the queue, the performance page and a summar</w:t>
      </w:r>
      <w:r>
        <w:rPr>
          <w:rFonts w:cs="Times New Roman"/>
        </w:rPr>
        <w:t xml:space="preserve">y PDF follow from that. The system was measured on a seeded synthetic data set (6,000 cases, 1,200 held out), compared with seven other </w:t>
      </w:r>
      <w:r>
        <w:rPr>
          <w:rFonts w:cs="Times New Roman"/>
        </w:rPr>
        <w:lastRenderedPageBreak/>
        <w:t>models, probed for calibration, robustness and safety, and verified with 47 automated tests and 17 smoke checks.</w:t>
      </w:r>
    </w:p>
    <w:p w:rsidR="003F0533" w:rsidRDefault="006D7D75">
      <w:pPr>
        <w:pStyle w:val="Heading2"/>
      </w:pPr>
      <w:r>
        <w:t>1.2 Obj</w:t>
      </w:r>
      <w:r>
        <w:t>ectives achieved</w:t>
      </w:r>
    </w:p>
    <w:p w:rsidR="003F0533" w:rsidRDefault="006D7D75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The six objectives of the batch against the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8"/>
        <w:gridCol w:w="3143"/>
        <w:gridCol w:w="5251"/>
      </w:tblGrid>
      <w:tr w:rsidR="003F0533">
        <w:trPr>
          <w:cantSplit/>
          <w:tblHeader/>
          <w:jc w:val="center"/>
        </w:trPr>
        <w:tc>
          <w:tcPr>
            <w:tcW w:w="504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3312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Objective</w:t>
            </w:r>
          </w:p>
        </w:tc>
        <w:tc>
          <w:tcPr>
            <w:tcW w:w="5616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Outcome</w:t>
            </w:r>
          </w:p>
        </w:tc>
      </w:tr>
      <w:tr w:rsidR="003F0533">
        <w:trPr>
          <w:cantSplit/>
          <w:jc w:val="center"/>
        </w:trPr>
        <w:tc>
          <w:tcPr>
            <w:tcW w:w="504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331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OCR stage for scanned reports</w:t>
            </w:r>
          </w:p>
        </w:tc>
        <w:tc>
          <w:tcPr>
            <w:tcW w:w="561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Met: PDF text layer plus local RapidOCR (PaddleOCR-family models on ONNX Runtime); 12 of 12 generated</w:t>
            </w:r>
            <w:r>
              <w:rPr>
                <w:rFonts w:cs="Times New Roman"/>
                <w:sz w:val="19"/>
              </w:rPr>
              <w:t xml:space="preserve"> samples read exactly; real scans untested</w:t>
            </w:r>
          </w:p>
        </w:tc>
      </w:tr>
      <w:tr w:rsidR="003F0533">
        <w:trPr>
          <w:cantSplit/>
          <w:jc w:val="center"/>
        </w:trPr>
        <w:tc>
          <w:tcPr>
            <w:tcW w:w="504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331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Medical language model to extract symptoms, findings, history</w:t>
            </w:r>
          </w:p>
        </w:tc>
        <w:tc>
          <w:tcPr>
            <w:tcW w:w="561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Partly met: a lexicon with negation, not BioBERT; precision 95.2% and recall 84.3% on 40 hand-written fragments</w:t>
            </w:r>
          </w:p>
        </w:tc>
      </w:tr>
      <w:tr w:rsidR="003F0533">
        <w:trPr>
          <w:cantSplit/>
          <w:jc w:val="center"/>
        </w:trPr>
        <w:tc>
          <w:tcPr>
            <w:tcW w:w="504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331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Fuse text features with vitals in</w:t>
            </w:r>
            <w:r>
              <w:rPr>
                <w:rFonts w:cs="Times New Roman"/>
                <w:sz w:val="19"/>
              </w:rPr>
              <w:t xml:space="preserve"> one representation</w:t>
            </w:r>
          </w:p>
        </w:tc>
        <w:tc>
          <w:tcPr>
            <w:tcW w:w="561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Met: 36 inputs; fused 68.25% against 40.58% (vitals) and 63.17% (report)</w:t>
            </w:r>
          </w:p>
        </w:tc>
      </w:tr>
      <w:tr w:rsidR="003F0533">
        <w:trPr>
          <w:cantSplit/>
          <w:jc w:val="center"/>
        </w:trPr>
        <w:tc>
          <w:tcPr>
            <w:tcW w:w="504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331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Model assigns risk level and priority</w:t>
            </w:r>
          </w:p>
        </w:tc>
        <w:tc>
          <w:tcPr>
            <w:tcW w:w="561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 on synthetic labels: 69.4% exact, 99.7% within one level, macro F1 0.670</w:t>
            </w:r>
          </w:p>
        </w:tc>
      </w:tr>
      <w:tr w:rsidR="003F0533">
        <w:trPr>
          <w:cantSplit/>
          <w:jc w:val="center"/>
        </w:trPr>
        <w:tc>
          <w:tcPr>
            <w:tcW w:w="504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331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Explanation layer showing what drove the p</w:t>
            </w:r>
            <w:r>
              <w:rPr>
                <w:rFonts w:cs="Times New Roman"/>
                <w:sz w:val="19"/>
              </w:rPr>
              <w:t>riority</w:t>
            </w:r>
          </w:p>
        </w:tc>
        <w:tc>
          <w:tcPr>
            <w:tcW w:w="561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Met: per-patient SHAP, strongest factor first, with the page each finding came from</w:t>
            </w:r>
          </w:p>
        </w:tc>
      </w:tr>
      <w:tr w:rsidR="003F0533">
        <w:trPr>
          <w:cantSplit/>
          <w:jc w:val="center"/>
        </w:trPr>
        <w:tc>
          <w:tcPr>
            <w:tcW w:w="504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331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Accuracy against clinician-assigned priority; time per patient</w:t>
            </w:r>
          </w:p>
        </w:tc>
        <w:tc>
          <w:tcPr>
            <w:tcW w:w="5616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Partly met: accuracy against the synthetic recorded priority only; median 30 ms for a PDF and 2.1 </w:t>
            </w:r>
            <w:r>
              <w:rPr>
                <w:rFonts w:cs="Times New Roman"/>
                <w:sz w:val="19"/>
              </w:rPr>
              <w:t>s for a scan, end to end over HTTP</w:t>
            </w:r>
          </w:p>
        </w:tc>
      </w:tr>
    </w:tbl>
    <w:p w:rsidR="003F0533" w:rsidRDefault="003F0533">
      <w:pPr>
        <w:spacing w:line="192" w:lineRule="auto"/>
      </w:pPr>
    </w:p>
    <w:p w:rsidR="003F0533" w:rsidRDefault="006D7D75">
      <w:pPr>
        <w:pStyle w:val="Heading2"/>
      </w:pPr>
      <w:r>
        <w:t>1.3 Key findings</w:t>
      </w:r>
    </w:p>
    <w:p w:rsidR="003F0533" w:rsidRDefault="006D7D75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Fusing the report with the vitals pays on this data.</w:t>
      </w:r>
      <w:r>
        <w:rPr>
          <w:rFonts w:cs="Times New Roman"/>
        </w:rPr>
        <w:t xml:space="preserve"> Exact accuracy is 68.25% fused, 63.17% report only and 40.58% vitals only; within one level the fused model is right 99.7% of the time.</w:t>
      </w:r>
    </w:p>
    <w:p w:rsidR="003F0533" w:rsidRDefault="006D7D75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 xml:space="preserve">The </w:t>
      </w:r>
      <w:r>
        <w:rPr>
          <w:rFonts w:cs="Times New Roman"/>
          <w:b/>
        </w:rPr>
        <w:t>shipped model recovers its rule well but not perfectly.</w:t>
      </w:r>
      <w:r>
        <w:rPr>
          <w:rFonts w:cs="Times New Roman"/>
        </w:rPr>
        <w:t xml:space="preserve"> 69.4% exact, 99.7% within one level, macro F1 0.670, quadratic weighted kappa 0.880, Top-2 95.3%; the label noise caps any model near 86.25%.</w:t>
      </w:r>
    </w:p>
    <w:p w:rsidR="003F0533" w:rsidRDefault="006D7D75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The sickest patients are the weak point.</w:t>
      </w:r>
      <w:r>
        <w:rPr>
          <w:rFonts w:cs="Times New Roman"/>
        </w:rPr>
        <w:t xml:space="preserve"> Priority 1 re</w:t>
      </w:r>
      <w:r>
        <w:rPr>
          <w:rFonts w:cs="Times New Roman"/>
        </w:rPr>
        <w:t>call is 43.9% and high-risk (P1 and P2) recall 66.2%. Flagging high risk when P(1) + P(2) is at least 0.4 would raise recall to 84.3% at precision 81.6%; this threshold is not implemented.</w:t>
      </w:r>
    </w:p>
    <w:p w:rsidR="003F0533" w:rsidRDefault="006D7D75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A simple baseline matches the chosen model.</w:t>
      </w:r>
      <w:r>
        <w:rPr>
          <w:rFonts w:cs="Times New Roman"/>
        </w:rPr>
        <w:t xml:space="preserve"> Logistic regression</w:t>
      </w:r>
      <w:r>
        <w:rPr>
          <w:rFonts w:cs="Times New Roman"/>
        </w:rPr>
        <w:t xml:space="preserve"> 72.42%, MLP 70.92%, XGBoost 68.25% (uncalibrated); five-fold XGBoost accuracy is 72.4% (sd 1.5).</w:t>
      </w:r>
    </w:p>
    <w:p w:rsidR="003F0533" w:rsidRDefault="006D7D75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Confidence is informative but coarse.</w:t>
      </w:r>
      <w:r>
        <w:rPr>
          <w:rFonts w:cs="Times New Roman"/>
        </w:rPr>
        <w:t xml:space="preserve"> Calibration lowers ECE only from 0.047 to 0.041; keeping predictions with confidence of at least 0.85 covers 25.5% o</w:t>
      </w:r>
      <w:r>
        <w:rPr>
          <w:rFonts w:cs="Times New Roman"/>
        </w:rPr>
        <w:t>f cases at 87.6% accuracy, and 0.9 covers 20.2% at 94.2%.</w:t>
      </w:r>
    </w:p>
    <w:p w:rsidR="003F0533" w:rsidRDefault="006D7D75">
      <w:pPr>
        <w:spacing w:after="60"/>
        <w:ind w:left="720" w:hanging="432"/>
      </w:pPr>
      <w:r>
        <w:rPr>
          <w:rFonts w:cs="Times New Roman"/>
        </w:rPr>
        <w:lastRenderedPageBreak/>
        <w:t xml:space="preserve">6.  </w:t>
      </w:r>
      <w:r>
        <w:rPr>
          <w:rFonts w:cs="Times New Roman"/>
          <w:b/>
        </w:rPr>
        <w:t>The reader is the fragile stage.</w:t>
      </w:r>
      <w:r>
        <w:rPr>
          <w:rFonts w:cs="Times New Roman"/>
        </w:rPr>
        <w:t xml:space="preserve"> 100% on generated samples, recall 84.3% on hand-written fragments, and the triage model loses accuracy quickly when findings are dropped (66.2% at 10%, 62.1% at </w:t>
      </w:r>
      <w:r>
        <w:rPr>
          <w:rFonts w:cs="Times New Roman"/>
        </w:rPr>
        <w:t>20%, 33.9% with no report).</w:t>
      </w:r>
    </w:p>
    <w:p w:rsidR="003F0533" w:rsidRDefault="006D7D75">
      <w:pPr>
        <w:spacing w:after="60"/>
        <w:ind w:left="720" w:hanging="432"/>
      </w:pPr>
      <w:r>
        <w:rPr>
          <w:rFonts w:cs="Times New Roman"/>
        </w:rPr>
        <w:t xml:space="preserve">7.  </w:t>
      </w:r>
      <w:r>
        <w:rPr>
          <w:rFonts w:cs="Times New Roman"/>
          <w:b/>
        </w:rPr>
        <w:t>Against the base paper</w:t>
      </w:r>
      <w:r>
        <w:rPr>
          <w:rFonts w:cs="Times New Roman"/>
        </w:rPr>
        <w:t xml:space="preserve"> ATHENA shares the ideas of ranked output, a 0.85 confidence threshold, SHAP and absent-equals-zero, but the task (five priorities against 87 ICD-10 classes) and the data (synthetic against 1,655 real cases) differ, so no accuracy comparison is claimed.</w:t>
      </w:r>
    </w:p>
    <w:p w:rsidR="003F0533" w:rsidRDefault="006D7D75">
      <w:pPr>
        <w:pStyle w:val="Heading2"/>
      </w:pPr>
      <w:r>
        <w:t>1.</w:t>
      </w:r>
      <w:r>
        <w:t>4 Practical applications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A teaching and prototyping platform for decision support that reads documents, fuses them with measurements, explains itself and records the clinician's decision.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A reference design for triage software: queue ordered by prior</w:t>
      </w:r>
      <w:r>
        <w:rPr>
          <w:rFonts w:cs="Times New Roman"/>
        </w:rPr>
        <w:t>ity then arrival, reasons beside each decision, override log, summary PDF.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A starting point for training on real triage records once such a data set is available (Chapter 10), with the evaluation scripts already in place.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A template for reporting a c</w:t>
      </w:r>
      <w:r>
        <w:rPr>
          <w:rFonts w:cs="Times New Roman"/>
        </w:rPr>
        <w:t>linical-AI result honestly: data source in every sentence, baselines, ceiling, calibration, safety direction and robustness.</w:t>
      </w:r>
    </w:p>
    <w:p w:rsidR="003F0533" w:rsidRDefault="006D7D75">
      <w:pPr>
        <w:pStyle w:val="Heading2"/>
      </w:pPr>
      <w:r>
        <w:t>1.5 Known limitations</w:t>
      </w:r>
    </w:p>
    <w:p w:rsidR="003F0533" w:rsidRDefault="006D7D75">
      <w:r>
        <w:rPr>
          <w:rFonts w:cs="Times New Roman"/>
        </w:rPr>
        <w:t>All model results are on synthetic data; priority-1 recall is 43.9% and under-triage 21.3%; a linear model is</w:t>
      </w:r>
      <w:r>
        <w:rPr>
          <w:rFonts w:cs="Times New Roman"/>
        </w:rPr>
        <w:t xml:space="preserve"> as good as the shipped one; the reader is a lexicon with known negation and OCR defects; BioBERT, RAG, multi-agent orchestration, LIME, MongoDB and the six disease-risk models were not built; security is demo-grade; and no clinician used the system. Chapt</w:t>
      </w:r>
      <w:r>
        <w:rPr>
          <w:rFonts w:cs="Times New Roman"/>
        </w:rPr>
        <w:t>er 8 and the Scope and Limitations document give the full list.</w:t>
      </w:r>
    </w:p>
    <w:p w:rsidR="003F0533" w:rsidRDefault="006D7D75">
      <w:pPr>
        <w:pStyle w:val="Heading2"/>
      </w:pPr>
      <w:r>
        <w:t>1.6 Lessons learned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Write the data a number was measured on in the same sentence as the number; a synthetic 69% and a real-hospital 69% are different claims.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Run the simple baseline firs</w:t>
      </w:r>
      <w:r>
        <w:rPr>
          <w:rFonts w:cs="Times New Roman"/>
        </w:rPr>
        <w:t>t. Logistic regression beating XGBoost would have stayed hidden without a comparison table.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Work out the noise ceiling of a synthetic data set before celebrating or lamenting an accuracy.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lastRenderedPageBreak/>
        <w:t xml:space="preserve">•  Test the reader on text it was not written for; the generated </w:t>
      </w:r>
      <w:r>
        <w:rPr>
          <w:rFonts w:cs="Times New Roman"/>
        </w:rPr>
        <w:t>samples gave 100% and the first honest stress test gave 84.3% recall.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Keep experiments scripted and their output stored as JSON, so every number in the documents can be traced and regenerated.</w:t>
      </w:r>
    </w:p>
    <w:p w:rsidR="003F0533" w:rsidRDefault="006D7D75">
      <w:r>
        <w:rPr>
          <w:rFonts w:cs="Times New Roman"/>
        </w:rPr>
        <w:t>The results behind the key findings are shown below: how the</w:t>
      </w:r>
      <w:r>
        <w:rPr>
          <w:rFonts w:cs="Times New Roman"/>
        </w:rPr>
        <w:t xml:space="preserve"> shipped model compares with seven other classifiers on the same synthetic split, and how the base paper's setting sits next to ATHENA's.</w:t>
      </w:r>
    </w:p>
    <w:p w:rsidR="003F0533" w:rsidRDefault="006D7D75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486400" cy="3154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_model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33" w:rsidRDefault="006D7D7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Exact accuracy and macro F1 of eight classifiers on the same 1,200 synthetic </w:t>
      </w:r>
      <w:r>
        <w:rPr>
          <w:rFonts w:cs="Times New Roman"/>
        </w:rPr>
        <w:t>hold-out cases.</w:t>
      </w:r>
    </w:p>
    <w:p w:rsidR="003F0533" w:rsidRDefault="006D7D75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86400" cy="44083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_base_paper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33" w:rsidRDefault="006D7D75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The base paper's setting and results beside ATHENA's (different task, classes and data: indicative context only, not a like-for-like comparison).</w:t>
      </w:r>
    </w:p>
    <w:p w:rsidR="003F0533" w:rsidRDefault="006D7D75">
      <w:pPr>
        <w:pStyle w:val="Heading1"/>
        <w:pageBreakBefore/>
      </w:pPr>
      <w:r>
        <w:lastRenderedPageBreak/>
        <w:t>2. FUTURE SCOPE</w:t>
      </w:r>
    </w:p>
    <w:p w:rsidR="003F0533" w:rsidRDefault="006D7D75">
      <w:pPr>
        <w:pStyle w:val="Heading2"/>
      </w:pPr>
      <w:r>
        <w:t>2.1 Improvements to the existing system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</w:t>
      </w:r>
      <w:r>
        <w:rPr>
          <w:rFonts w:cs="Times New Roman"/>
        </w:rPr>
        <w:t xml:space="preserve">  </w:t>
      </w:r>
      <w:r>
        <w:rPr>
          <w:rFonts w:cs="Times New Roman"/>
          <w:b/>
        </w:rPr>
        <w:t>Train and test on real triage records.</w:t>
      </w:r>
      <w:r>
        <w:rPr>
          <w:rFonts w:cs="Times New Roman"/>
        </w:rPr>
        <w:t xml:space="preserve"> The Kaggle "Hospital Triage and Patient History Data" set is wired to </w:t>
      </w:r>
      <w:r>
        <w:rPr>
          <w:rFonts w:ascii="Consolas" w:eastAsia="Consolas" w:hAnsi="Consolas" w:cs="Consolas"/>
          <w:sz w:val="21"/>
        </w:rPr>
        <w:t>scripts/download_data.py</w:t>
      </w:r>
      <w:r>
        <w:rPr>
          <w:rFonts w:cs="Times New Roman"/>
        </w:rPr>
        <w:t xml:space="preserve"> (never run; licence not stated); MIMIC-IV-ED is a public benchmark but needs credentialed access [13]. Report agreement </w:t>
      </w:r>
      <w:r>
        <w:rPr>
          <w:rFonts w:cs="Times New Roman"/>
        </w:rPr>
        <w:t>with recorded triage levels, per-level recall and calibration on a patient-disjoint split.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Add the high-risk safeguard.</w:t>
      </w:r>
      <w:r>
        <w:rPr>
          <w:rFonts w:cs="Times New Roman"/>
        </w:rPr>
        <w:t xml:space="preserve"> Raise a High-risk flag when P(1) + P(2) is at least 0.4: on the synthetic hold-out this raises P1-P2 recall from 66.2% to 84.3% at pr</w:t>
      </w:r>
      <w:r>
        <w:rPr>
          <w:rFonts w:cs="Times New Roman"/>
        </w:rPr>
        <w:t>ecision 81.6% (against 90.6%); choose the threshold on validation data with clinicians.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Improve negation scope and OCR tolerance.</w:t>
      </w:r>
      <w:r>
        <w:rPr>
          <w:rFonts w:cs="Times New Roman"/>
        </w:rPr>
        <w:t xml:space="preserve"> Stop the window at "but" and "however", handle post-positioned negation ("absent") and prefixes ("afebrile"), join split OC</w:t>
      </w:r>
      <w:r>
        <w:rPr>
          <w:rFonts w:cs="Times New Roman"/>
        </w:rPr>
        <w:t xml:space="preserve">R words, and fix the </w:t>
      </w:r>
      <w:r>
        <w:rPr>
          <w:rFonts w:ascii="Consolas" w:eastAsia="Consolas" w:hAnsi="Consolas" w:cs="Consolas"/>
          <w:sz w:val="21"/>
        </w:rPr>
        <w:t>emesis</w:t>
      </w:r>
      <w:r>
        <w:rPr>
          <w:rFonts w:cs="Times New Roman"/>
        </w:rPr>
        <w:t xml:space="preserve"> match inside </w:t>
      </w:r>
      <w:r>
        <w:rPr>
          <w:rFonts w:ascii="Consolas" w:eastAsia="Consolas" w:hAnsi="Consolas" w:cs="Consolas"/>
          <w:sz w:val="21"/>
        </w:rPr>
        <w:t>haematemesis</w:t>
      </w:r>
      <w:r>
        <w:rPr>
          <w:rFonts w:cs="Times New Roman"/>
        </w:rPr>
        <w:t>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Better calibration.</w:t>
      </w:r>
      <w:r>
        <w:rPr>
          <w:rFonts w:cs="Times New Roman"/>
        </w:rPr>
        <w:t xml:space="preserve"> Compare temperature scaling and merged bins with isotonic regression; the 0.8 to 0.9 confidence bin is over-confident today (ECE 0.041).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Replace the lexicon by a clinical lang</w:t>
      </w:r>
      <w:r>
        <w:rPr>
          <w:rFonts w:cs="Times New Roman"/>
          <w:b/>
        </w:rPr>
        <w:t>uage model</w:t>
      </w:r>
      <w:r>
        <w:rPr>
          <w:rFonts w:cs="Times New Roman"/>
        </w:rPr>
        <w:t xml:space="preserve"> (BioBERT-class [22]) for extraction, keeping the lexicon as a fallback and the stress set as the regression test.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Strengthen security.</w:t>
      </w:r>
      <w:r>
        <w:rPr>
          <w:rFonts w:cs="Times New Roman"/>
        </w:rPr>
        <w:t xml:space="preserve"> Require </w:t>
      </w:r>
      <w:r>
        <w:rPr>
          <w:rFonts w:ascii="Consolas" w:eastAsia="Consolas" w:hAnsi="Consolas" w:cs="Consolas"/>
          <w:sz w:val="21"/>
        </w:rPr>
        <w:t>JWT_SECRET</w:t>
      </w:r>
      <w:r>
        <w:rPr>
          <w:rFonts w:cs="Times New Roman"/>
        </w:rPr>
        <w:t xml:space="preserve">, add HTTPS, rate limiting, audit logging of views and downloads, and remove the seeded </w:t>
      </w:r>
      <w:r>
        <w:rPr>
          <w:rFonts w:cs="Times New Roman"/>
        </w:rPr>
        <w:t>passwords.</w:t>
      </w:r>
    </w:p>
    <w:p w:rsidR="003F0533" w:rsidRDefault="006D7D75">
      <w:pPr>
        <w:pStyle w:val="Heading2"/>
      </w:pPr>
      <w:r>
        <w:t>2.2 Additional features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Chief-complaint and pain-score inputs</w:t>
      </w:r>
      <w:r>
        <w:rPr>
          <w:rFonts w:cs="Times New Roman"/>
        </w:rPr>
        <w:t>, which real triage relies on, and free-text notes next to the scan.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Retrieval of guidance (RAG)</w:t>
      </w:r>
      <w:r>
        <w:rPr>
          <w:rFonts w:cs="Times New Roman"/>
        </w:rPr>
        <w:t xml:space="preserve"> so that a priority comes with the relevant protocol passage, and </w:t>
      </w:r>
      <w:r>
        <w:rPr>
          <w:rFonts w:cs="Times New Roman"/>
          <w:b/>
        </w:rPr>
        <w:t>multi-agent chec</w:t>
      </w:r>
      <w:r>
        <w:rPr>
          <w:rFonts w:cs="Times New Roman"/>
          <w:b/>
        </w:rPr>
        <w:t>ks</w:t>
      </w:r>
      <w:r>
        <w:rPr>
          <w:rFonts w:cs="Times New Roman"/>
        </w:rPr>
        <w:t xml:space="preserve"> (for example a second reader that audits the first) as named in the batch abstract.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LIME or counterfactual explanations</w:t>
      </w:r>
      <w:r>
        <w:rPr>
          <w:rFonts w:cs="Times New Roman"/>
        </w:rPr>
        <w:t xml:space="preserve"> next to SHAP, and an explanation of why a finding was </w:t>
      </w:r>
      <w:r>
        <w:rPr>
          <w:rFonts w:cs="Times New Roman"/>
          <w:i/>
        </w:rPr>
        <w:t>not</w:t>
      </w:r>
      <w:r>
        <w:rPr>
          <w:rFonts w:cs="Times New Roman"/>
        </w:rPr>
        <w:t xml:space="preserve"> read.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Disease-risk modules</w:t>
      </w:r>
      <w:r>
        <w:rPr>
          <w:rFonts w:cs="Times New Roman"/>
        </w:rPr>
        <w:t xml:space="preserve"> for diabetes, heart disease, chronic kidne</w:t>
      </w:r>
      <w:r>
        <w:rPr>
          <w:rFonts w:cs="Times New Roman"/>
        </w:rPr>
        <w:t>y disease, breast cancer, liver disease and sepsis, as named in the batch brief, each with its own evaluation.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Trend views</w:t>
      </w:r>
      <w:r>
        <w:rPr>
          <w:rFonts w:cs="Times New Roman"/>
        </w:rPr>
        <w:t xml:space="preserve"> for repeated vitals and an alert when a waiting patient's risk changes.</w:t>
      </w:r>
    </w:p>
    <w:p w:rsidR="003F0533" w:rsidRDefault="006D7D75">
      <w:pPr>
        <w:pStyle w:val="Heading2"/>
      </w:pPr>
      <w:r>
        <w:t>2.3 Scalability and deployment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Move from SQLite to a se</w:t>
      </w:r>
      <w:r>
        <w:rPr>
          <w:rFonts w:cs="Times New Roman"/>
        </w:rPr>
        <w:t>rver database, run several API workers behind a reverse proxy, and cache the OCR engine per worker; creating a patient already takes a median 22 ms, so reading scanned images (about 2.2 s each on this CPU) is the cost that needs a worker pool or a GPU.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</w:rPr>
        <w:t>Integrate with hospital systems through HL7 or FHIR and a monitor feed instead of typed vitals.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Containerise the service, publish the model bundle with its metrics and monitor the distribution of inputs and of clinician overrides in production, retraini</w:t>
      </w:r>
      <w:r>
        <w:rPr>
          <w:rFonts w:cs="Times New Roman"/>
        </w:rPr>
        <w:t>ng when they drift.</w:t>
      </w:r>
    </w:p>
    <w:p w:rsidR="003F0533" w:rsidRDefault="006D7D75">
      <w:pPr>
        <w:pStyle w:val="Heading2"/>
      </w:pPr>
      <w:r>
        <w:t>2.4 Further research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A prospective, clinician-in-the-loop study: how often is the suggestion kept, and does the explanation change the clinician's decision?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Fairness checks across age and arrival mode on real data, and measurement</w:t>
      </w:r>
      <w:r>
        <w:rPr>
          <w:rFonts w:cs="Times New Roman"/>
        </w:rPr>
        <w:t xml:space="preserve"> of under-triage by subgroup.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Comparison of tree models, linear models and small networks on real triage records, following the tabular-data evidence [21].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Top-k and abstention policies: when the model should refuse to suggest a priority, building on</w:t>
      </w:r>
      <w:r>
        <w:rPr>
          <w:rFonts w:cs="Times New Roman"/>
        </w:rPr>
        <w:t xml:space="preserve"> the confidence-coverage curve measured here.</w:t>
      </w:r>
    </w:p>
    <w:p w:rsidR="003F0533" w:rsidRDefault="006D7D75">
      <w:pPr>
        <w:spacing w:after="60"/>
        <w:ind w:left="720" w:hanging="360"/>
      </w:pPr>
      <w:r>
        <w:rPr>
          <w:rFonts w:cs="Times New Roman"/>
        </w:rPr>
        <w:t>•  Reporting to a clinical-AI standard such as TRIPOD+AI [30] once real data are used.</w:t>
      </w:r>
    </w:p>
    <w:p w:rsidR="003F0533" w:rsidRDefault="006D7D75">
      <w:pPr>
        <w:pStyle w:val="Heading2"/>
      </w:pPr>
      <w:r>
        <w:t>2.5 Suggested order of work</w:t>
      </w:r>
    </w:p>
    <w:p w:rsidR="003F0533" w:rsidRDefault="006D7D75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Future work ranked by value and effort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708"/>
        <w:gridCol w:w="1502"/>
        <w:gridCol w:w="2680"/>
      </w:tblGrid>
      <w:tr w:rsidR="003F0533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Priority</w:t>
            </w:r>
          </w:p>
        </w:tc>
        <w:tc>
          <w:tcPr>
            <w:tcW w:w="4032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1584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Effort</w:t>
            </w:r>
          </w:p>
        </w:tc>
        <w:tc>
          <w:tcPr>
            <w:tcW w:w="2880" w:type="dxa"/>
            <w:shd w:val="clear" w:color="auto" w:fill="1B2A41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Why first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403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Real triage data set and patient-disjoint evaluation</w:t>
            </w:r>
          </w:p>
        </w:tc>
        <w:tc>
          <w:tcPr>
            <w:tcW w:w="1584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Medium</w:t>
            </w:r>
          </w:p>
        </w:tc>
        <w:tc>
          <w:tcPr>
            <w:tcW w:w="2880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Turns every figure from a statement about a rule into one about patients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lastRenderedPageBreak/>
              <w:t>2</w:t>
            </w:r>
          </w:p>
        </w:tc>
        <w:tc>
          <w:tcPr>
            <w:tcW w:w="403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High-risk threshold and clinician review of it</w:t>
            </w:r>
          </w:p>
        </w:tc>
        <w:tc>
          <w:tcPr>
            <w:tcW w:w="1584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</w:t>
            </w:r>
          </w:p>
        </w:tc>
        <w:tc>
          <w:tcPr>
            <w:tcW w:w="2880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Recall of P1-P2 66.2% to 84.3% on the synthetic </w:t>
            </w:r>
            <w:r>
              <w:rPr>
                <w:rFonts w:cs="Times New Roman"/>
                <w:sz w:val="19"/>
              </w:rPr>
              <w:t>hold-out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403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Negation, abbreviation and OCR fixes with a larger independent stress set</w:t>
            </w:r>
          </w:p>
        </w:tc>
        <w:tc>
          <w:tcPr>
            <w:tcW w:w="1584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 to medium</w:t>
            </w:r>
          </w:p>
        </w:tc>
        <w:tc>
          <w:tcPr>
            <w:tcW w:w="2880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Reader recall is 84.3% on hand-written fragments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403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Security hardening and audit log</w:t>
            </w:r>
          </w:p>
        </w:tc>
        <w:tc>
          <w:tcPr>
            <w:tcW w:w="1584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 to medium</w:t>
            </w:r>
          </w:p>
        </w:tc>
        <w:tc>
          <w:tcPr>
            <w:tcW w:w="2880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Closes the demo shortcuts that block any real use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403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Clinical language model for extraction</w:t>
            </w:r>
          </w:p>
        </w:tc>
        <w:tc>
          <w:tcPr>
            <w:tcW w:w="1584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Large</w:t>
            </w:r>
          </w:p>
        </w:tc>
        <w:tc>
          <w:tcPr>
            <w:tcW w:w="2880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Addresses paraphrases the lexicon cannot read</w:t>
            </w:r>
          </w:p>
        </w:tc>
      </w:tr>
      <w:tr w:rsidR="003F0533">
        <w:trPr>
          <w:cantSplit/>
          <w:jc w:val="center"/>
        </w:trPr>
        <w:tc>
          <w:tcPr>
            <w:tcW w:w="1008" w:type="dxa"/>
          </w:tcPr>
          <w:p w:rsidR="003F0533" w:rsidRDefault="006D7D75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4032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User study and prospective evaluation</w:t>
            </w:r>
          </w:p>
        </w:tc>
        <w:tc>
          <w:tcPr>
            <w:tcW w:w="1584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Large</w:t>
            </w:r>
          </w:p>
        </w:tc>
        <w:tc>
          <w:tcPr>
            <w:tcW w:w="2880" w:type="dxa"/>
          </w:tcPr>
          <w:p w:rsidR="003F0533" w:rsidRDefault="006D7D75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only way to show the tool helps a clinician</w:t>
            </w:r>
          </w:p>
        </w:tc>
      </w:tr>
    </w:tbl>
    <w:p w:rsidR="003F0533" w:rsidRDefault="003F0533">
      <w:pPr>
        <w:spacing w:line="192" w:lineRule="auto"/>
      </w:pPr>
    </w:p>
    <w:p w:rsidR="003F0533" w:rsidRDefault="006D7D75">
      <w:pPr>
        <w:pStyle w:val="Heading1"/>
        <w:pageBreakBefore/>
      </w:pPr>
      <w:r>
        <w:lastRenderedPageBreak/>
        <w:t>3. REFERENCES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[1]  M. Mlodawski, S. Deniziak, M. Plaza, A. Kwiatkowska, D. Jaszczyk, A. Gajda and K. Twardowski, "Multidimensional analysis of the diagnostic performance of machine learning models in disease classification: implications for clinical decision support sys</w:t>
      </w:r>
      <w:r>
        <w:rPr>
          <w:rFonts w:cs="Times New Roman"/>
          <w:sz w:val="20"/>
        </w:rPr>
        <w:t xml:space="preserve">tems,"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14, pp. 92149-92177, 2026, doi: 10.1109/ACCESS.2026.3703248.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[2]  "Identifying the high-risk obstetric patient at triage," </w:t>
      </w:r>
      <w:r>
        <w:rPr>
          <w:rFonts w:cs="Times New Roman"/>
          <w:i/>
          <w:sz w:val="20"/>
        </w:rPr>
        <w:t>J. Emerg. Nurs.</w:t>
      </w:r>
      <w:r>
        <w:rPr>
          <w:rFonts w:cs="Times New Roman"/>
          <w:sz w:val="20"/>
        </w:rPr>
        <w:t>, 2026 (authors, volume and pages not verified).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"The effects of patient triage manageme</w:t>
      </w:r>
      <w:r>
        <w:rPr>
          <w:rFonts w:cs="Times New Roman"/>
          <w:sz w:val="20"/>
        </w:rPr>
        <w:t xml:space="preserve">nt strategies on clinical outcomes and risk management in emergency departments: a prospective comparative study," </w:t>
      </w:r>
      <w:r>
        <w:rPr>
          <w:rFonts w:cs="Times New Roman"/>
          <w:i/>
          <w:sz w:val="20"/>
        </w:rPr>
        <w:t>Anatolian Curr. Med. J.</w:t>
      </w:r>
      <w:r>
        <w:rPr>
          <w:rFonts w:cs="Times New Roman"/>
          <w:sz w:val="20"/>
        </w:rPr>
        <w:t>, vol. 7, no. 1, Jan. 2025.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T. L. Pinn-Woodcock, J. Pigott and S. A. L. DeNotta, "Emergency diagnostic assessment</w:t>
      </w:r>
      <w:r>
        <w:rPr>
          <w:rFonts w:cs="Times New Roman"/>
          <w:sz w:val="20"/>
        </w:rPr>
        <w:t xml:space="preserve"> during triage," in </w:t>
      </w:r>
      <w:r>
        <w:rPr>
          <w:rFonts w:cs="Times New Roman"/>
          <w:i/>
          <w:sz w:val="20"/>
        </w:rPr>
        <w:t>Emergency Triage of the Horse</w:t>
      </w:r>
      <w:r>
        <w:rPr>
          <w:rFonts w:cs="Times New Roman"/>
          <w:sz w:val="20"/>
        </w:rPr>
        <w:t>. Hoboken, NJ, USA: Wiley, 2025, ch. 6, p. 91.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[5]  "Assessment of knowledge of triage among patient attendants presenting in the emergency department: a single center observational study," </w:t>
      </w:r>
      <w:r>
        <w:rPr>
          <w:rFonts w:cs="Times New Roman"/>
          <w:i/>
          <w:sz w:val="20"/>
        </w:rPr>
        <w:t>J. Gen. Pract. Em</w:t>
      </w:r>
      <w:r>
        <w:rPr>
          <w:rFonts w:cs="Times New Roman"/>
          <w:i/>
          <w:sz w:val="20"/>
        </w:rPr>
        <w:t>erg. Med. Nepal</w:t>
      </w:r>
      <w:r>
        <w:rPr>
          <w:rFonts w:cs="Times New Roman"/>
          <w:sz w:val="20"/>
        </w:rPr>
        <w:t>, 2024 (authors and pages not verified).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H. Cheng, C. Yu, Y. Shi, C. Wang, C. Liu and Z. Jin, "Collaborative medical triage under uncertainty: a multi-agent dynamic matching approach," arXiv:2507.22504, Jul. 2025.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[7]  H. Jang, G. Chu, </w:t>
      </w:r>
      <w:r>
        <w:rPr>
          <w:rFonts w:cs="Times New Roman"/>
          <w:sz w:val="20"/>
        </w:rPr>
        <w:t>C. Kim, J. Park et al., "TRIAGE: dialectical reasoning for explainable risk prediction on irregularly sampled medical time series with LLMs," arXiv:2606.09030, Jun. 2026.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[8]  M. Fernandes, S. M. Vieira, F. Leite, C. Palos, S. Finkelstein and J. M. C. Sousa, "Clinical decision support systems for triage in the emergency department using intelligent systems: a review," </w:t>
      </w:r>
      <w:r>
        <w:rPr>
          <w:rFonts w:cs="Times New Roman"/>
          <w:i/>
          <w:sz w:val="20"/>
        </w:rPr>
        <w:t>Artif. Intell. Med.</w:t>
      </w:r>
      <w:r>
        <w:rPr>
          <w:rFonts w:cs="Times New Roman"/>
          <w:sz w:val="20"/>
        </w:rPr>
        <w:t>, vol. 102, Art. no. 101762, Jan. 202</w:t>
      </w:r>
      <w:r>
        <w:rPr>
          <w:rFonts w:cs="Times New Roman"/>
          <w:sz w:val="20"/>
        </w:rPr>
        <w:t>0, doi: 10.1016/j.artmed.2019.101762.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[9]  J. S. Hinson, D. A. Martinez, S. Cabral et al., "Triage performance in emergency medicine: a systematic review," </w:t>
      </w:r>
      <w:r>
        <w:rPr>
          <w:rFonts w:cs="Times New Roman"/>
          <w:i/>
          <w:sz w:val="20"/>
        </w:rPr>
        <w:t>Ann. Emerg. Med.</w:t>
      </w:r>
      <w:r>
        <w:rPr>
          <w:rFonts w:cs="Times New Roman"/>
          <w:sz w:val="20"/>
        </w:rPr>
        <w:t>, vol. 74, no. 1, pp. 140-152, Jul. 2019, doi: 10.1016/j.annemergmed.2018.09.022.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[1</w:t>
      </w:r>
      <w:r>
        <w:rPr>
          <w:rFonts w:cs="Times New Roman"/>
          <w:sz w:val="20"/>
        </w:rPr>
        <w:t xml:space="preserve">0]  W. S. Hong, A. D. Haimovich and R. A. Taylor, "Predicting hospital admission at emergency department triage using machine learning," </w:t>
      </w:r>
      <w:r>
        <w:rPr>
          <w:rFonts w:cs="Times New Roman"/>
          <w:i/>
          <w:sz w:val="20"/>
        </w:rPr>
        <w:t>PLoS ONE</w:t>
      </w:r>
      <w:r>
        <w:rPr>
          <w:rFonts w:cs="Times New Roman"/>
          <w:sz w:val="20"/>
        </w:rPr>
        <w:t>, vol. 13, no. 7, Art. no. e0201016, Jul. 2018, doi: 10.1371/journal.pone.0201016.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[11]  S. Levin et al., "Mach</w:t>
      </w:r>
      <w:r>
        <w:rPr>
          <w:rFonts w:cs="Times New Roman"/>
          <w:sz w:val="20"/>
        </w:rPr>
        <w:t xml:space="preserve">ine-learning-based electronic triage more accurately differentiates patients with respect to clinical outcomes compared with the Emergency Severity Index," </w:t>
      </w:r>
      <w:r>
        <w:rPr>
          <w:rFonts w:cs="Times New Roman"/>
          <w:i/>
          <w:sz w:val="20"/>
        </w:rPr>
        <w:t>Ann. Emerg. Med.</w:t>
      </w:r>
      <w:r>
        <w:rPr>
          <w:rFonts w:cs="Times New Roman"/>
          <w:sz w:val="20"/>
        </w:rPr>
        <w:t>, vol. 71, no. 5, pp. 565-574, May 2018, doi: 10.1016/j.annemergmed.2017.08.005.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[12]  Y. Raita et al., "Emergency department triage prediction of clinical outcomes using machine learning models," </w:t>
      </w:r>
      <w:r>
        <w:rPr>
          <w:rFonts w:cs="Times New Roman"/>
          <w:i/>
          <w:sz w:val="20"/>
        </w:rPr>
        <w:t>Crit. Care</w:t>
      </w:r>
      <w:r>
        <w:rPr>
          <w:rFonts w:cs="Times New Roman"/>
          <w:sz w:val="20"/>
        </w:rPr>
        <w:t>, vol. 23, Art. no. 64, Feb. 2019, doi: 10.1186/s13054-019-2351-7.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[13]  F. Xie et al., "Benchmarking emergency department predict</w:t>
      </w:r>
      <w:r>
        <w:rPr>
          <w:rFonts w:cs="Times New Roman"/>
          <w:sz w:val="20"/>
        </w:rPr>
        <w:t xml:space="preserve">ion models with machine learning and public electronic health records," </w:t>
      </w:r>
      <w:r>
        <w:rPr>
          <w:rFonts w:cs="Times New Roman"/>
          <w:i/>
          <w:sz w:val="20"/>
        </w:rPr>
        <w:t>Sci. Data</w:t>
      </w:r>
      <w:r>
        <w:rPr>
          <w:rFonts w:cs="Times New Roman"/>
          <w:sz w:val="20"/>
        </w:rPr>
        <w:t>, vol. 9, Art. no. 658, Oct. 2022, doi: 10.1038/s41597-022-01782-9.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[14]  N. Gilboy, P. Tanabe, D. Travers and A. M. Rosenau, </w:t>
      </w:r>
      <w:r>
        <w:rPr>
          <w:rFonts w:cs="Times New Roman"/>
          <w:i/>
          <w:sz w:val="20"/>
        </w:rPr>
        <w:t>Emergency Severity Index (ESI): A Triage Tool for</w:t>
      </w:r>
      <w:r>
        <w:rPr>
          <w:rFonts w:cs="Times New Roman"/>
          <w:i/>
          <w:sz w:val="20"/>
        </w:rPr>
        <w:t xml:space="preserve"> Emergency Department Care, Version 4, Implementation Handbook 2012 Edition</w:t>
      </w:r>
      <w:r>
        <w:rPr>
          <w:rFonts w:cs="Times New Roman"/>
          <w:sz w:val="20"/>
        </w:rPr>
        <w:t>, AHRQ Pub. no. 12-0014. Rockville, MD, USA: Agency for Healthcare Research and Quality, 2011.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[15]  T. Chen and C. Guestrin, "XGBoost: a scalable tree boosting system," in </w:t>
      </w:r>
      <w:r>
        <w:rPr>
          <w:rFonts w:cs="Times New Roman"/>
          <w:i/>
          <w:sz w:val="20"/>
        </w:rPr>
        <w:t>Proc. 22</w:t>
      </w:r>
      <w:r>
        <w:rPr>
          <w:rFonts w:cs="Times New Roman"/>
          <w:i/>
          <w:sz w:val="20"/>
        </w:rPr>
        <w:t>nd ACM SIGKDD Int. Conf. Knowl. Discovery Data Mining</w:t>
      </w:r>
      <w:r>
        <w:rPr>
          <w:rFonts w:cs="Times New Roman"/>
          <w:sz w:val="20"/>
        </w:rPr>
        <w:t>, San Francisco, CA, USA, 2016, pp. 785-794, doi: 10.1145/2939672.2939785.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[16]  S. M. Lundberg and S.-I. Lee, "A unified approach to interpreting model predictions," in </w:t>
      </w:r>
      <w:r>
        <w:rPr>
          <w:rFonts w:cs="Times New Roman"/>
          <w:i/>
          <w:sz w:val="20"/>
        </w:rPr>
        <w:t>Proc. Adv. Neural Inf. Process. S</w:t>
      </w:r>
      <w:r>
        <w:rPr>
          <w:rFonts w:cs="Times New Roman"/>
          <w:i/>
          <w:sz w:val="20"/>
        </w:rPr>
        <w:t>yst. (NeurIPS)</w:t>
      </w:r>
      <w:r>
        <w:rPr>
          <w:rFonts w:cs="Times New Roman"/>
          <w:sz w:val="20"/>
        </w:rPr>
        <w:t>, vol. 30, 2017, pp. 4765-4774, arXiv:1705.07874.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 xml:space="preserve">[17]  S. M. Lundberg et al., "From local explanations to global understanding with explainable AI for trees," </w:t>
      </w:r>
      <w:r>
        <w:rPr>
          <w:rFonts w:cs="Times New Roman"/>
          <w:i/>
          <w:sz w:val="20"/>
        </w:rPr>
        <w:t>Nat. Mach. Intell.</w:t>
      </w:r>
      <w:r>
        <w:rPr>
          <w:rFonts w:cs="Times New Roman"/>
          <w:sz w:val="20"/>
        </w:rPr>
        <w:t>, vol. 2, no. 1, pp. 56-67, Jan. 2020, doi: 10.1038/s42256-019-0</w:t>
      </w:r>
      <w:r>
        <w:rPr>
          <w:rFonts w:cs="Times New Roman"/>
          <w:sz w:val="20"/>
        </w:rPr>
        <w:t>138-9.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[18]  B. Zadrozny and C. Elkan, "Transforming classifier scores into accurate multiclass probability estimates," in </w:t>
      </w:r>
      <w:r>
        <w:rPr>
          <w:rFonts w:cs="Times New Roman"/>
          <w:i/>
          <w:sz w:val="20"/>
        </w:rPr>
        <w:t>Proc. 8th ACM SIGKDD Int. Conf. Knowl. Discovery Data Mining</w:t>
      </w:r>
      <w:r>
        <w:rPr>
          <w:rFonts w:cs="Times New Roman"/>
          <w:sz w:val="20"/>
        </w:rPr>
        <w:t>, Edmonton, AB, Canada, 2002, pp. 694-699, doi: 10.1145/775047.775151.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[1</w:t>
      </w:r>
      <w:r>
        <w:rPr>
          <w:rFonts w:cs="Times New Roman"/>
          <w:sz w:val="20"/>
        </w:rPr>
        <w:t xml:space="preserve">9]  A. Niculescu-Mizil and R. Caruana, "Predicting good probabilities with supervised learning," in </w:t>
      </w:r>
      <w:r>
        <w:rPr>
          <w:rFonts w:cs="Times New Roman"/>
          <w:i/>
          <w:sz w:val="20"/>
        </w:rPr>
        <w:t>Proc. 22nd Int. Conf. Mach. Learn. (ICML)</w:t>
      </w:r>
      <w:r>
        <w:rPr>
          <w:rFonts w:cs="Times New Roman"/>
          <w:sz w:val="20"/>
        </w:rPr>
        <w:t>, Bonn, Germany, 2005, pp. 625-632, doi: 10.1145/1102351.1102430.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[20]  C. Guo, G. Pleiss, Y. Sun and K. Q. Weinber</w:t>
      </w:r>
      <w:r>
        <w:rPr>
          <w:rFonts w:cs="Times New Roman"/>
          <w:sz w:val="20"/>
        </w:rPr>
        <w:t xml:space="preserve">ger, "On calibration of modern neural networks," in </w:t>
      </w:r>
      <w:r>
        <w:rPr>
          <w:rFonts w:cs="Times New Roman"/>
          <w:i/>
          <w:sz w:val="20"/>
        </w:rPr>
        <w:t>Proc. 34th Int. Conf. Mach. Learn. (ICML)</w:t>
      </w:r>
      <w:r>
        <w:rPr>
          <w:rFonts w:cs="Times New Roman"/>
          <w:sz w:val="20"/>
        </w:rPr>
        <w:t>, PMLR vol. 70, 2017, pp. 1321-1330.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[21]  L. Grinsztajn, E. Oyallon and G. Varoquaux, "Why do tree-based models still outperform deep learning on typical tabular </w:t>
      </w:r>
      <w:r>
        <w:rPr>
          <w:rFonts w:cs="Times New Roman"/>
          <w:sz w:val="20"/>
        </w:rPr>
        <w:t xml:space="preserve">data?" in </w:t>
      </w:r>
      <w:r>
        <w:rPr>
          <w:rFonts w:cs="Times New Roman"/>
          <w:i/>
          <w:sz w:val="20"/>
        </w:rPr>
        <w:t>Proc. Adv. Neural Inf. Process. Syst. (NeurIPS) Datasets Benchmarks Track</w:t>
      </w:r>
      <w:r>
        <w:rPr>
          <w:rFonts w:cs="Times New Roman"/>
          <w:sz w:val="20"/>
        </w:rPr>
        <w:t>, vol. 35, 2022, pp. 507-520, arXiv:2207.08815.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[22]  J. Lee, W. Yoon, S. Kim, D. Kim, S. Kim, C. H. So and J. Kang, "BioBERT: a pre-trained biomedical language representati</w:t>
      </w:r>
      <w:r>
        <w:rPr>
          <w:rFonts w:cs="Times New Roman"/>
          <w:sz w:val="20"/>
        </w:rPr>
        <w:t xml:space="preserve">on model for biomedical text mining," </w:t>
      </w:r>
      <w:r>
        <w:rPr>
          <w:rFonts w:cs="Times New Roman"/>
          <w:i/>
          <w:sz w:val="20"/>
        </w:rPr>
        <w:t>Bioinformatics</w:t>
      </w:r>
      <w:r>
        <w:rPr>
          <w:rFonts w:cs="Times New Roman"/>
          <w:sz w:val="20"/>
        </w:rPr>
        <w:t>, vol. 36, no. 4, pp. 1234-1240, Feb. 2020, doi: 10.1093/bioinformatics/btz682.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[23]  Y. Du et al., "PP-OCR: a practical ultra lightweight OCR system," arXiv:2009.09941, Sep. 2020.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L. Breiman, "Rand</w:t>
      </w:r>
      <w:r>
        <w:rPr>
          <w:rFonts w:cs="Times New Roman"/>
          <w:sz w:val="20"/>
        </w:rPr>
        <w:t xml:space="preserve">om forests," </w:t>
      </w:r>
      <w:r>
        <w:rPr>
          <w:rFonts w:cs="Times New Roman"/>
          <w:i/>
          <w:sz w:val="20"/>
        </w:rPr>
        <w:t>Mach. Learn.</w:t>
      </w:r>
      <w:r>
        <w:rPr>
          <w:rFonts w:cs="Times New Roman"/>
          <w:sz w:val="20"/>
        </w:rPr>
        <w:t>, vol. 45, no. 1, pp. 5-32, Oct. 2001, doi: 10.1023/A:1010933404324.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[25]  F. Pedregosa et al., "Scikit-learn: machine learning in Python," </w:t>
      </w:r>
      <w:r>
        <w:rPr>
          <w:rFonts w:cs="Times New Roman"/>
          <w:i/>
          <w:sz w:val="20"/>
        </w:rPr>
        <w:t>J. Mach. Learn. Res.</w:t>
      </w:r>
      <w:r>
        <w:rPr>
          <w:rFonts w:cs="Times New Roman"/>
          <w:sz w:val="20"/>
        </w:rPr>
        <w:t>, vol. 12, pp. 2825-2830, 2011.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M. T. Ribeiro, S. Singh and C. Gu</w:t>
      </w:r>
      <w:r>
        <w:rPr>
          <w:rFonts w:cs="Times New Roman"/>
          <w:sz w:val="20"/>
        </w:rPr>
        <w:t xml:space="preserve">estrin, "'Why should I trust you?': explaining the predictions of any classifier," in </w:t>
      </w:r>
      <w:r>
        <w:rPr>
          <w:rFonts w:cs="Times New Roman"/>
          <w:i/>
          <w:sz w:val="20"/>
        </w:rPr>
        <w:t>Proc. 22nd ACM SIGKDD Int. Conf. Knowl. Discovery Data Mining</w:t>
      </w:r>
      <w:r>
        <w:rPr>
          <w:rFonts w:cs="Times New Roman"/>
          <w:sz w:val="20"/>
        </w:rPr>
        <w:t>, San Francisco, CA, USA, 2016, pp. 1135-1144, doi: 10.1145/2939672.2939778.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M. Plaza, "Multimodal syst</w:t>
      </w:r>
      <w:r>
        <w:rPr>
          <w:rFonts w:cs="Times New Roman"/>
          <w:sz w:val="20"/>
        </w:rPr>
        <w:t xml:space="preserve">em for automated medical documentation and clinical decision support integrating contact center solutions," </w:t>
      </w:r>
      <w:r>
        <w:rPr>
          <w:rFonts w:cs="Times New Roman"/>
          <w:i/>
          <w:sz w:val="20"/>
        </w:rPr>
        <w:t>Sci. Rep.</w:t>
      </w:r>
      <w:r>
        <w:rPr>
          <w:rFonts w:cs="Times New Roman"/>
          <w:sz w:val="20"/>
        </w:rPr>
        <w:t>, vol. 16, no. 1, p. 15017, Mar. 2026, doi: 10.1038/s41598-026-45879-2.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[28]  P.-F. Chen et al., "Automatic international classification of</w:t>
      </w:r>
      <w:r>
        <w:rPr>
          <w:rFonts w:cs="Times New Roman"/>
          <w:sz w:val="20"/>
        </w:rPr>
        <w:t xml:space="preserve"> diseases coding system: deep contextualized language model with rule-based approaches," </w:t>
      </w:r>
      <w:r>
        <w:rPr>
          <w:rFonts w:cs="Times New Roman"/>
          <w:i/>
          <w:sz w:val="20"/>
        </w:rPr>
        <w:t>JMIR Med. Informat.</w:t>
      </w:r>
      <w:r>
        <w:rPr>
          <w:rFonts w:cs="Times New Roman"/>
          <w:sz w:val="20"/>
        </w:rPr>
        <w:t>, vol. 10, no. 6, Art. no. e37557, Jun. 2022, doi: 10.2196/37557.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[29]  H. Takita et al., "A systematic review and meta-analysis of diagnostic perfo</w:t>
      </w:r>
      <w:r>
        <w:rPr>
          <w:rFonts w:cs="Times New Roman"/>
          <w:sz w:val="20"/>
        </w:rPr>
        <w:t xml:space="preserve">rmance comparison between generative AI and physicians," </w:t>
      </w:r>
      <w:r>
        <w:rPr>
          <w:rFonts w:cs="Times New Roman"/>
          <w:i/>
          <w:sz w:val="20"/>
        </w:rPr>
        <w:t>npj Digit. Med.</w:t>
      </w:r>
      <w:r>
        <w:rPr>
          <w:rFonts w:cs="Times New Roman"/>
          <w:sz w:val="20"/>
        </w:rPr>
        <w:t>, vol. 8, no. 1, p. 175, Mar. 2025, doi: 10.1038/s41746-025-01543-z.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>[30]  G. S. Collins et al., "TRIPOD+AI statement: updated guidance for reporting clinical prediction models that us</w:t>
      </w:r>
      <w:r>
        <w:rPr>
          <w:rFonts w:cs="Times New Roman"/>
          <w:sz w:val="20"/>
        </w:rPr>
        <w:t xml:space="preserve">e regression or machine learning methods," </w:t>
      </w:r>
      <w:r>
        <w:rPr>
          <w:rFonts w:cs="Times New Roman"/>
          <w:i/>
          <w:sz w:val="20"/>
        </w:rPr>
        <w:t>BMJ</w:t>
      </w:r>
      <w:r>
        <w:rPr>
          <w:rFonts w:cs="Times New Roman"/>
          <w:sz w:val="20"/>
        </w:rPr>
        <w:t>, vol. 385, Art. no. e078378, Apr. 2024, doi: 10.1136/bmj-2023-078378.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[31]  J. G. Richens, C. M. Lee and S. Johri, "Improving the accuracy of medical diagnosis with causal machine learning," </w:t>
      </w:r>
      <w:r>
        <w:rPr>
          <w:rFonts w:cs="Times New Roman"/>
          <w:i/>
          <w:sz w:val="20"/>
        </w:rPr>
        <w:t>Nat. Commun.</w:t>
      </w:r>
      <w:r>
        <w:rPr>
          <w:rFonts w:cs="Times New Roman"/>
          <w:sz w:val="20"/>
        </w:rPr>
        <w:t>, vol.</w:t>
      </w:r>
      <w:r>
        <w:rPr>
          <w:rFonts w:cs="Times New Roman"/>
          <w:sz w:val="20"/>
        </w:rPr>
        <w:t xml:space="preserve"> 11, no. 1, p. 3923, Aug. 2020, doi: 10.1038/s41467-020-17419-7.</w:t>
      </w:r>
    </w:p>
    <w:p w:rsidR="003F0533" w:rsidRDefault="006D7D75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[32]  B. Vasey et al., "Association of clinician diagnostic performance with machine learning-based decision support systems: a systematic review," </w:t>
      </w:r>
      <w:r>
        <w:rPr>
          <w:rFonts w:cs="Times New Roman"/>
          <w:i/>
          <w:sz w:val="20"/>
        </w:rPr>
        <w:t>JAMA Netw. Open</w:t>
      </w:r>
      <w:r>
        <w:rPr>
          <w:rFonts w:cs="Times New Roman"/>
          <w:sz w:val="20"/>
        </w:rPr>
        <w:t>, vol. 4, no. 3, Art. no. e2</w:t>
      </w:r>
      <w:r>
        <w:rPr>
          <w:rFonts w:cs="Times New Roman"/>
          <w:sz w:val="20"/>
        </w:rPr>
        <w:t>11276, Mar. 2021, doi: 10.1001/jamanetworkopen.2021.1276.</w:t>
      </w:r>
    </w:p>
    <w:sectPr w:rsidR="003F0533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D7D75">
      <w:pPr>
        <w:spacing w:after="0" w:line="240" w:lineRule="auto"/>
      </w:pPr>
      <w:r>
        <w:separator/>
      </w:r>
    </w:p>
  </w:endnote>
  <w:endnote w:type="continuationSeparator" w:id="0">
    <w:p w:rsidR="00000000" w:rsidRDefault="006D7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0533" w:rsidRDefault="006D7D75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D7D75">
      <w:pPr>
        <w:spacing w:after="0" w:line="240" w:lineRule="auto"/>
      </w:pPr>
      <w:r>
        <w:separator/>
      </w:r>
    </w:p>
  </w:footnote>
  <w:footnote w:type="continuationSeparator" w:id="0">
    <w:p w:rsidR="00000000" w:rsidRDefault="006D7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0533" w:rsidRDefault="006D7D75">
    <w:pPr>
      <w:pStyle w:val="Header"/>
      <w:jc w:val="center"/>
    </w:pPr>
    <w:r>
      <w:rPr>
        <w:rFonts w:cs="Times New Roman"/>
        <w:i/>
        <w:color w:val="555555"/>
        <w:sz w:val="20"/>
      </w:rPr>
      <w:t>ATHENA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533"/>
    <w:rsid w:val="006D7D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A6998F-ED0E-461A-835E-1F9F0947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D7D75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D7D75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6D7D75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7A288E-986E-4B58-BE8A-44E810BC0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2612</Words>
  <Characters>14496</Characters>
  <Application>Microsoft Office Word</Application>
  <DocSecurity>0</DocSecurity>
  <Lines>316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2026-10-26T05:53:00Z</dcterms:modified>
  <cp:category/>
</cp:coreProperties>
</file>