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cs="Times New Roman" w:eastAsia="Times New Roman"/>
          <w:b w:val="0"/>
          <w:sz w:val="48"/>
        </w:rPr>
        <w:t>ATHENA: Explainable Emergency Triage from Scanned Reports and Vitals</w:t>
      </w:r>
    </w:p>
    <w:tbl>
      <w:tblPr>
        <w:tblW w:type="auto" w:w="0"/>
        <w:jc w:val="center"/>
        <w:tblLayout w:type="fixed"/>
        <w:tblLook w:firstColumn="1" w:firstRow="1" w:lastColumn="0" w:lastRow="0" w:noHBand="0" w:noVBand="1" w:val="04A0"/>
      </w:tblPr>
      <w:tblGrid>
        <w:gridCol w:w="2050"/>
        <w:gridCol w:w="2050"/>
        <w:gridCol w:w="2050"/>
        <w:gridCol w:w="2050"/>
        <w:gridCol w:w="2050"/>
      </w:tblGrid>
      <w:tr>
        <w:tc>
          <w:tcPr>
            <w:tcW w:type="dxa" w:w="2051"/>
          </w:tcPr>
          <w:p>
            <w:pPr>
              <w:spacing w:after="0"/>
              <w:jc w:val="center"/>
            </w:pPr>
            <w:r/>
            <w:r>
              <w:rPr>
                <w:rFonts w:ascii="Times New Roman" w:hAnsi="Times New Roman" w:cs="Times New Roman" w:eastAsia="Times New Roman"/>
                <w:b/>
                <w:sz w:val="18"/>
              </w:rPr>
              <w:t>BADAVENI SRINATH</w:t>
            </w:r>
          </w:p>
          <w:p>
            <w:pPr>
              <w:spacing w:after="0"/>
              <w:jc w:val="center"/>
            </w:pPr>
            <w:r>
              <w:rPr>
                <w:rFonts w:ascii="Times New Roman" w:hAnsi="Times New Roman" w:cs="Times New Roman" w:eastAsia="Times New Roman"/>
                <w:b w:val="0"/>
                <w:sz w:val="18"/>
              </w:rPr>
              <w:t>Roll No. 23K91A0523</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BASANI AVINASH</w:t>
            </w:r>
          </w:p>
          <w:p>
            <w:pPr>
              <w:spacing w:after="0"/>
              <w:jc w:val="center"/>
            </w:pPr>
            <w:r>
              <w:rPr>
                <w:rFonts w:ascii="Times New Roman" w:hAnsi="Times New Roman" w:cs="Times New Roman" w:eastAsia="Times New Roman"/>
                <w:b w:val="0"/>
                <w:sz w:val="18"/>
              </w:rPr>
              <w:t>Roll No. 23K91A0532</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DEGALA PRANEETH</w:t>
            </w:r>
          </w:p>
          <w:p>
            <w:pPr>
              <w:spacing w:after="0"/>
              <w:jc w:val="center"/>
            </w:pPr>
            <w:r>
              <w:rPr>
                <w:rFonts w:ascii="Times New Roman" w:hAnsi="Times New Roman" w:cs="Times New Roman" w:eastAsia="Times New Roman"/>
                <w:b w:val="0"/>
                <w:sz w:val="18"/>
              </w:rPr>
              <w:t>Roll No. 23K91A0561</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BONTHA SAISREE</w:t>
            </w:r>
          </w:p>
          <w:p>
            <w:pPr>
              <w:spacing w:after="0"/>
              <w:jc w:val="center"/>
            </w:pPr>
            <w:r>
              <w:rPr>
                <w:rFonts w:ascii="Times New Roman" w:hAnsi="Times New Roman" w:cs="Times New Roman" w:eastAsia="Times New Roman"/>
                <w:b w:val="0"/>
                <w:sz w:val="18"/>
              </w:rPr>
              <w:t>Roll No. 23K91A0545</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K. SHALINI</w:t>
            </w:r>
          </w:p>
          <w:p>
            <w:pPr>
              <w:spacing w:after="0"/>
              <w:jc w:val="center"/>
            </w:pPr>
            <w:r>
              <w:rPr>
                <w:rFonts w:ascii="Times New Roman" w:hAnsi="Times New Roman" w:cs="Times New Roman" w:eastAsia="Times New Roman"/>
                <w:b w:val="0"/>
                <w:sz w:val="18"/>
              </w:rPr>
              <w:t>[DESIGNATION] (project guide)</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r>
    </w:tbl>
    <w:p>
      <w:pPr>
        <w:spacing w:after="80"/>
      </w:pPr>
    </w:p>
    <w:p>
      <w:pPr>
        <w:sectPr>
          <w:pgSz w:w="12240" w:h="15840"/>
          <w:pgMar w:top="1080" w:right="994" w:bottom="1440" w:left="994" w:header="720" w:footer="720" w:gutter="0"/>
          <w:cols w:space="720"/>
          <w:docGrid w:linePitch="360"/>
        </w:sectPr>
      </w:pPr>
    </w:p>
    <w:p>
      <w:pPr>
        <w:spacing w:after="80"/>
        <w:jc w:val="both"/>
      </w:pPr>
      <w:r>
        <w:rPr>
          <w:rFonts w:ascii="Times New Roman" w:hAnsi="Times New Roman" w:cs="Times New Roman" w:eastAsia="Times New Roman"/>
          <w:b/>
          <w:i/>
          <w:sz w:val="18"/>
        </w:rPr>
        <w:t>Abstract---</w:t>
      </w:r>
      <w:r>
        <w:rPr>
          <w:rFonts w:ascii="Times New Roman" w:hAnsi="Times New Roman" w:cs="Times New Roman" w:eastAsia="Times New Roman"/>
          <w:sz w:val="18"/>
        </w:rPr>
        <w:t>Emergency departments must decide within minutes who is seen first, and triage by scale varies with the person on duty. Models built on structured fields cannot see what is written only in a scanned report. This paper presents ATHENA, a decision-support tool that reads a PDF or scanned report, extracts symptoms, findings, history and six laboratory values with a negation-aware lexicon, fuses them with eight vitals into 36 inputs, and assigns a triage priority from 1 to 5 with a calibrated confidence and a per-patient SHAP explanation. A clinician accepts or changes each priority and the reason is stored. The model was trained and tested on a seeded synthetic dataset of 6,000 cases, not on patient records. On 1,200 held-out synthetic cases it reaches 69.4 % exact accuracy, 99.7 % within one level and macro F1 0.670, but recall for priority 1 is only 43.9 %. Using the report with the vitals lifts accuracy from 40.6 % to 68.2 %, and a logistic-regression baseline scores higher (72.4 %). The work demonstrates an integrated, explainable pipeline, not clinical validity.</w:t>
      </w:r>
    </w:p>
    <w:p>
      <w:pPr>
        <w:spacing w:after="80"/>
        <w:jc w:val="both"/>
      </w:pPr>
      <w:r>
        <w:rPr>
          <w:rFonts w:ascii="Times New Roman" w:hAnsi="Times New Roman" w:cs="Times New Roman" w:eastAsia="Times New Roman"/>
          <w:b/>
          <w:i/>
          <w:sz w:val="18"/>
        </w:rPr>
        <w:t>Index Terms---</w:t>
      </w:r>
      <w:r>
        <w:rPr>
          <w:rFonts w:ascii="Times New Roman" w:hAnsi="Times New Roman" w:cs="Times New Roman" w:eastAsia="Times New Roman"/>
          <w:sz w:val="18"/>
        </w:rPr>
        <w:t>clinical decision support, emergency triage, explainable AI, optical character recognition, probability calibration, SHAP, XGBoost.</w:t>
      </w:r>
    </w:p>
    <w:p>
      <w:pPr>
        <w:keepNext/>
        <w:spacing w:before="160" w:after="80"/>
        <w:jc w:val="center"/>
      </w:pPr>
      <w:r>
        <w:rPr>
          <w:rFonts w:ascii="Times New Roman" w:hAnsi="Times New Roman" w:cs="Times New Roman" w:eastAsia="Times New Roman"/>
          <w:b/>
          <w:sz w:val="20"/>
        </w:rPr>
        <w:t>I. INTRODUCTION</w:t>
      </w:r>
    </w:p>
    <w:p>
      <w:pPr>
        <w:keepNext w:val="0"/>
        <w:spacing w:after="0" w:before="0" w:line="240" w:lineRule="auto"/>
        <w:ind w:firstLine="288"/>
        <w:jc w:val="both"/>
      </w:pPr>
      <w:r>
        <w:rPr>
          <w:rFonts w:ascii="Times New Roman" w:hAnsi="Times New Roman" w:cs="Times New Roman" w:eastAsia="Times New Roman"/>
          <w:sz w:val="20"/>
        </w:rPr>
        <w:t>An emergency department has minutes to decide which patient is seen first. In many emergency departments a nurse assigns one of five levels, as in the Emergency Severity Index [2], from vital signs, the complaint and experience. The result varies between people and shifts, and a systematic review found sensitivity below 80 % for identifying critically ill patients [3]. Machine-learning triage models trained on structured fields have matched or beaten scale-based triage on outcomes such as admission and critical care [4], [5], [6], yet a review notes that several intelligent triage studies never reached implementation [7].</w:t>
      </w:r>
    </w:p>
    <w:p>
      <w:pPr>
        <w:keepNext w:val="0"/>
        <w:spacing w:after="0" w:before="0" w:line="240" w:lineRule="auto"/>
        <w:ind w:firstLine="288"/>
        <w:jc w:val="both"/>
      </w:pPr>
      <w:r>
        <w:rPr>
          <w:rFonts w:ascii="Times New Roman" w:hAnsi="Times New Roman" w:cs="Times New Roman" w:eastAsia="Times New Roman"/>
          <w:sz w:val="20"/>
        </w:rPr>
        <w:t>These models share a blind spot. Much of what a clinician knows at triage sits in a referral letter, an ECG printout or a laboratory slip that arrives as a scanned document, and a model that sees only typed fields never reads it. A bare prediction also has little chance of acceptance at the bedside unless the reasons are shown next to it, and a stated confidence is only useful if it is calibrated.</w:t>
      </w:r>
    </w:p>
    <w:p>
      <w:pPr>
        <w:keepNext w:val="0"/>
        <w:spacing w:after="0" w:before="0" w:line="240" w:lineRule="auto"/>
        <w:ind w:firstLine="288"/>
        <w:jc w:val="both"/>
      </w:pPr>
      <w:r>
        <w:rPr>
          <w:rFonts w:ascii="Times New Roman" w:hAnsi="Times New Roman" w:cs="Times New Roman" w:eastAsia="Times New Roman"/>
          <w:sz w:val="20"/>
        </w:rPr>
        <w:t>ATHENA is decision support, not a diagnostic device. It reads the text of a report, not images such as radiographs, it never acts on its own, and the treating clinician makes the final decision: every priority can be accepted or changed, and a change needs a written reason.</w:t>
      </w:r>
    </w:p>
    <w:p>
      <w:pPr>
        <w:keepNext w:val="0"/>
        <w:spacing w:after="0" w:before="0" w:line="240" w:lineRule="auto"/>
        <w:ind w:firstLine="288"/>
        <w:jc w:val="both"/>
      </w:pPr>
      <w:r>
        <w:rPr>
          <w:rFonts w:ascii="Times New Roman" w:hAnsi="Times New Roman" w:cs="Times New Roman" w:eastAsia="Times New Roman"/>
          <w:sz w:val="20"/>
        </w:rPr>
        <w:t>The base paper [1] studies diagnosis from typed symptom indicators with 19 classifiers, a TOP-1/TOP-3 ranking and SHAP and LIME explanations, and does not read scans or produce a triage level. ATHENA takes its ideas of probability ranking, a high-confidence threshold, explanation and no imputation of missing symptoms, and applies them to scanned reports and triage. The contributions are: (1) an offline report reader that turns a PDF or scan into page-referenced symptoms, findings, history and lab flags, with negation handling; (2) a fused 36-input record and an isotonic-calibrated XGBoost that outputs priority 1 to 5, a risk level and a calibrated confidence, with per-patient SHAP reasons; (3) a clinician accept-or-change loop that stores every decision with its reason; and (4) an honest evaluation on seeded synthetic data covering model comparison, input ablation, calibration, robustness to missed findings and the limits of the report reader. Section II reviews related work, Section III the method, Section IV the results and Section V concludes.</w:t>
      </w:r>
    </w:p>
    <w:p>
      <w:pPr>
        <w:keepNext w:val="0"/>
        <w:spacing w:after="0" w:before="0" w:line="240" w:lineRule="auto"/>
        <w:ind w:firstLine="288"/>
        <w:jc w:val="both"/>
      </w:pPr>
      <w:r>
        <w:rPr>
          <w:rFonts w:ascii="Times New Roman" w:hAnsi="Times New Roman" w:cs="Times New Roman" w:eastAsia="Times New Roman"/>
          <w:sz w:val="20"/>
        </w:rPr>
        <w:t>The project set six objectives: an OCR stage for scanned reports; extraction of symptoms, findings and history from the text; one patient representation that combines text-derived features with tabular vitals; a model that assigns a risk level and triage priority; an explanation layer showing which findings drove the priority; and an evaluation of accuracy against the recorded priority together with processing time per patient. Section V states how far each was met.</w:t>
      </w:r>
    </w:p>
    <w:p>
      <w:pPr>
        <w:keepNext/>
        <w:spacing w:before="80" w:after="40"/>
      </w:pPr>
      <w:r>
        <w:rPr>
          <w:rFonts w:ascii="Times New Roman" w:hAnsi="Times New Roman" w:cs="Times New Roman" w:eastAsia="Times New Roman"/>
          <w:b w:val="0"/>
          <w:i/>
          <w:sz w:val="20"/>
        </w:rPr>
        <w:t>A. System Hardware</w:t>
      </w:r>
    </w:p>
    <w:p>
      <w:pPr>
        <w:keepNext w:val="0"/>
        <w:spacing w:after="0" w:before="0" w:line="240" w:lineRule="auto"/>
        <w:ind w:firstLine="288"/>
        <w:jc w:val="both"/>
      </w:pPr>
      <w:r>
        <w:rPr>
          <w:rFonts w:ascii="Times New Roman" w:hAnsi="Times New Roman" w:cs="Times New Roman" w:eastAsia="Times New Roman"/>
          <w:sz w:val="20"/>
        </w:rPr>
        <w:t>All training, tests and timings ran on one Windows 11 Pro machine with an Intel Core i5-12500 (12 threads), 15.7 GB of RAM and no GPU. Optical character recognition (OCR) therefore ran on the CPU, and absolute times are indicative of a modest workstation.</w:t>
      </w:r>
    </w:p>
    <w:p>
      <w:pPr>
        <w:keepNext/>
        <w:spacing w:before="80" w:after="40"/>
      </w:pPr>
      <w:r>
        <w:rPr>
          <w:rFonts w:ascii="Times New Roman" w:hAnsi="Times New Roman" w:cs="Times New Roman" w:eastAsia="Times New Roman"/>
          <w:b w:val="0"/>
          <w:i/>
          <w:sz w:val="20"/>
        </w:rPr>
        <w:t>B. Software Requirements</w:t>
      </w:r>
    </w:p>
    <w:p>
      <w:pPr>
        <w:keepNext w:val="0"/>
        <w:spacing w:after="0" w:before="0" w:line="240" w:lineRule="auto"/>
        <w:ind w:firstLine="288"/>
        <w:jc w:val="both"/>
      </w:pPr>
      <w:r>
        <w:rPr>
          <w:rFonts w:ascii="Times New Roman" w:hAnsi="Times New Roman" w:cs="Times New Roman" w:eastAsia="Times New Roman"/>
          <w:sz w:val="20"/>
        </w:rPr>
        <w:t>Python 3.11.9 with FastAPI and SQLAlchemy (SQLite) for the service, XGBoost [8], scikit-learn [9], the SHAP package [10], pypdf and RapidOCR (ONNX Runtime) for report reading, ReportLab for the summary PDF, and React 19 with Vite 8 for the interface (Node 24.19). Passwords are hashed with bcrypt and sessions use signed JSON Web Tokens.</w:t>
      </w:r>
    </w:p>
    <w:p>
      <w:pPr>
        <w:keepNext/>
        <w:spacing w:before="160" w:after="80"/>
        <w:jc w:val="center"/>
      </w:pPr>
      <w:r>
        <w:rPr>
          <w:rFonts w:ascii="Times New Roman" w:hAnsi="Times New Roman" w:cs="Times New Roman" w:eastAsia="Times New Roman"/>
          <w:b/>
          <w:sz w:val="20"/>
        </w:rPr>
        <w:t>II. LITERATURE SURVEY</w:t>
      </w:r>
    </w:p>
    <w:p>
      <w:pPr>
        <w:keepNext w:val="0"/>
        <w:spacing w:after="0" w:before="0" w:line="240" w:lineRule="auto"/>
        <w:ind w:firstLine="288"/>
        <w:jc w:val="both"/>
      </w:pPr>
      <w:r>
        <w:rPr>
          <w:rFonts w:ascii="Times New Roman" w:hAnsi="Times New Roman" w:cs="Times New Roman" w:eastAsia="Times New Roman"/>
          <w:b/>
          <w:sz w:val="20"/>
        </w:rPr>
        <w:t>Base paper.</w:t>
      </w:r>
      <w:r>
        <w:rPr>
          <w:rFonts w:ascii="Times New Roman" w:hAnsi="Times New Roman" w:cs="Times New Roman" w:eastAsia="Times New Roman"/>
          <w:sz w:val="20"/>
        </w:rPr>
        <w:t xml:space="preserve"> Mlodawski et al. [1] build a diagnostic classifier for internal medicine and pediatrics. They use 1,655 real clinical cases (616 internal medicine, 1,039 pediatrics), 479 clinical parameters and 87 ICD-10 diagnostic classes, treat undocumented symptoms as absent without imputation, add rule-based synthetic cases for rare diseases, and compare 19 algorithms tuned with Optuna (up to 100 trials each). A two-stage TOP-1/TOP-3 mechanism ranks diagnoses by probability and calls a diagnosis highly probable above 0.85, with a stricter acceptance threshold for high-risk diseases. Gradient boosting is best in internal medicine (84.74% TOP-1) and a multilayer perceptron in pediatrics (87.20%); mean TOP-3 accuracy is 77.43% and 81.99%. On 120 cases from a separate facility, TOP-1 accuracy falls to 73.33% and 78.33%. SHAP and LIME check that the learned features are clinically sensible. The input is a typed indicator vector: the work does not read documents, does not fuse vital signs, and predicts diagnoses rather than urgency.</w:t>
      </w:r>
    </w:p>
    <w:p>
      <w:pPr>
        <w:keepNext w:val="0"/>
        <w:spacing w:after="0" w:before="0" w:line="240" w:lineRule="auto"/>
        <w:ind w:firstLine="288"/>
        <w:jc w:val="both"/>
      </w:pPr>
      <w:r>
        <w:rPr>
          <w:rFonts w:ascii="Times New Roman" w:hAnsi="Times New Roman" w:cs="Times New Roman" w:eastAsia="Times New Roman"/>
          <w:b/>
          <w:sz w:val="20"/>
        </w:rPr>
        <w:t>Triage prediction.</w:t>
      </w:r>
      <w:r>
        <w:rPr>
          <w:rFonts w:ascii="Times New Roman" w:hAnsi="Times New Roman" w:cs="Times New Roman" w:eastAsia="Times New Roman"/>
          <w:sz w:val="20"/>
        </w:rPr>
        <w:t xml:space="preserve"> Fernandes et al. [7] review intelligent triage support and find that several studies lack an implementation phase. Hinson et al. [3] review 182 studies of triage scales and report low sensitivity for critical illness. Hong et al. [4] predict admission for 560,486 visits and find that history adds to triage-only inputs (area under the curve about 0.87 rising to about 0.92). Levin et al. [5] train a random forest on 172,726 visits that matches or exceeds the Emergency Severity Index for outcomes, and Raita et al. [6] report an area under the curve of 0.86 for a deep network against 0.74 for an index-based model on critical care. Xie et al. [11] publish a public benchmark on MIMIC-IV-ED. A prospective study compares ESI with Manchester triage on 6,000 patients each [12], a process study without machine learning.</w:t>
      </w:r>
    </w:p>
    <w:p>
      <w:pPr>
        <w:keepNext w:val="0"/>
        <w:spacing w:after="0" w:before="0" w:line="240" w:lineRule="auto"/>
        <w:ind w:firstLine="288"/>
        <w:jc w:val="both"/>
      </w:pPr>
      <w:r>
        <w:rPr>
          <w:rFonts w:ascii="Times New Roman" w:hAnsi="Times New Roman" w:cs="Times New Roman" w:eastAsia="Times New Roman"/>
          <w:b/>
          <w:sz w:val="20"/>
        </w:rPr>
        <w:t>Language and OCR.</w:t>
      </w:r>
      <w:r>
        <w:rPr>
          <w:rFonts w:ascii="Times New Roman" w:hAnsi="Times New Roman" w:cs="Times New Roman" w:eastAsia="Times New Roman"/>
          <w:sz w:val="20"/>
        </w:rPr>
        <w:t xml:space="preserve"> BioBERT [13] is the usual choice for biomedical text mining, and PaddleOCR-family models [14] are widely used for text recognition; ATHENA uses the latter through RapidOCR but a transparent lexicon instead of a language model. Multi-agent language-model triage [15] reasons over written cases and was not evaluated on scans or vitals here. ATHENA explains each decision with per-patient SHAP attributions [10], [16], and probability calibration [17], [18] is needed for a confidence to be read as a probability.</w:t>
      </w:r>
    </w:p>
    <w:p>
      <w:pPr>
        <w:keepNext/>
        <w:spacing w:before="80"/>
        <w:jc w:val="center"/>
      </w:pPr>
      <w:r>
        <w:rPr>
          <w:rFonts w:ascii="Times New Roman" w:hAnsi="Times New Roman" w:cs="Times New Roman" w:eastAsia="Times New Roman"/>
          <w:sz w:val="16"/>
        </w:rPr>
        <w:t>TABLE I</w:t>
      </w:r>
    </w:p>
    <w:p>
      <w:pPr>
        <w:keepNext/>
        <w:spacing w:after="40"/>
        <w:jc w:val="center"/>
      </w:pPr>
      <w:r>
        <w:rPr>
          <w:rFonts w:ascii="Times New Roman" w:hAnsi="Times New Roman" w:cs="Times New Roman" w:eastAsia="Times New Roman"/>
          <w:sz w:val="16"/>
        </w:rPr>
        <w:t>REPRESENTATIVE RELATED WORK</w:t>
      </w:r>
    </w:p>
    <w:tbl>
      <w:tblPr>
        <w:tblStyle w:val="TableGrid"/>
        <w:tblW w:type="auto" w:w="0"/>
        <w:jc w:val="center"/>
        <w:tblLook w:firstColumn="1" w:firstRow="1" w:lastColumn="0" w:lastRow="0" w:noHBand="0" w:noVBand="1" w:val="04A0"/>
      </w:tblPr>
      <w:tblGrid>
        <w:gridCol w:w="2050"/>
        <w:gridCol w:w="2050"/>
        <w:gridCol w:w="2050"/>
        <w:gridCol w:w="2050"/>
        <w:gridCol w:w="2050"/>
      </w:tblGrid>
      <w:tr>
        <w:trPr>
          <w:cantSplit w:val="true"/>
        </w:trPr>
        <w:tc>
          <w:tcPr>
            <w:tcW w:type="dxa" w:w="893"/>
          </w:tcPr>
          <w:p>
            <w:pPr>
              <w:keepNext/>
              <w:jc w:val="center"/>
            </w:pPr>
            <w:r/>
            <w:r>
              <w:rPr>
                <w:rFonts w:ascii="Times New Roman" w:hAnsi="Times New Roman" w:cs="Times New Roman" w:eastAsia="Times New Roman"/>
                <w:b/>
                <w:sz w:val="13"/>
              </w:rPr>
              <w:t>Work</w:t>
            </w:r>
          </w:p>
        </w:tc>
        <w:tc>
          <w:tcPr>
            <w:tcW w:type="dxa" w:w="1123"/>
          </w:tcPr>
          <w:p>
            <w:pPr>
              <w:keepNext/>
              <w:jc w:val="center"/>
            </w:pPr>
            <w:r/>
            <w:r>
              <w:rPr>
                <w:rFonts w:ascii="Times New Roman" w:hAnsi="Times New Roman" w:cs="Times New Roman" w:eastAsia="Times New Roman"/>
                <w:b/>
                <w:sz w:val="13"/>
              </w:rPr>
              <w:t>Approach</w:t>
            </w:r>
          </w:p>
        </w:tc>
        <w:tc>
          <w:tcPr>
            <w:tcW w:type="dxa" w:w="893"/>
          </w:tcPr>
          <w:p>
            <w:pPr>
              <w:keepNext/>
              <w:jc w:val="center"/>
            </w:pPr>
            <w:r/>
            <w:r>
              <w:rPr>
                <w:rFonts w:ascii="Times New Roman" w:hAnsi="Times New Roman" w:cs="Times New Roman" w:eastAsia="Times New Roman"/>
                <w:b/>
                <w:sz w:val="13"/>
              </w:rPr>
              <w:t>Data</w:t>
            </w:r>
          </w:p>
        </w:tc>
        <w:tc>
          <w:tcPr>
            <w:tcW w:type="dxa" w:w="1008"/>
          </w:tcPr>
          <w:p>
            <w:pPr>
              <w:keepNext/>
              <w:jc w:val="center"/>
            </w:pPr>
            <w:r/>
            <w:r>
              <w:rPr>
                <w:rFonts w:ascii="Times New Roman" w:hAnsi="Times New Roman" w:cs="Times New Roman" w:eastAsia="Times New Roman"/>
                <w:b/>
                <w:sz w:val="13"/>
              </w:rPr>
              <w:t>Reported result</w:t>
            </w:r>
          </w:p>
        </w:tc>
        <w:tc>
          <w:tcPr>
            <w:tcW w:type="dxa" w:w="979"/>
          </w:tcPr>
          <w:p>
            <w:pPr>
              <w:keepNext/>
              <w:jc w:val="center"/>
            </w:pPr>
            <w:r/>
            <w:r>
              <w:rPr>
                <w:rFonts w:ascii="Times New Roman" w:hAnsi="Times New Roman" w:cs="Times New Roman" w:eastAsia="Times New Roman"/>
                <w:b/>
                <w:sz w:val="13"/>
              </w:rPr>
              <w:t>Limitation</w:t>
            </w:r>
          </w:p>
        </w:tc>
      </w:tr>
      <w:tr>
        <w:trPr>
          <w:cantSplit w:val="true"/>
        </w:trPr>
        <w:tc>
          <w:tcPr>
            <w:tcW w:type="dxa" w:w="893"/>
          </w:tcPr>
          <w:p>
            <w:pPr>
              <w:keepNext/>
              <w:jc w:val="left"/>
            </w:pPr>
            <w:r/>
            <w:r>
              <w:rPr>
                <w:rFonts w:ascii="Times New Roman" w:hAnsi="Times New Roman" w:cs="Times New Roman" w:eastAsia="Times New Roman"/>
                <w:sz w:val="13"/>
              </w:rPr>
              <w:t>Base paper [1]</w:t>
            </w:r>
          </w:p>
        </w:tc>
        <w:tc>
          <w:tcPr>
            <w:tcW w:type="dxa" w:w="1123"/>
          </w:tcPr>
          <w:p>
            <w:pPr>
              <w:keepNext/>
              <w:jc w:val="left"/>
            </w:pPr>
            <w:r/>
            <w:r>
              <w:rPr>
                <w:rFonts w:ascii="Times New Roman" w:hAnsi="Times New Roman" w:cs="Times New Roman" w:eastAsia="Times New Roman"/>
                <w:sz w:val="13"/>
              </w:rPr>
              <w:t>19 classifiers, TOP-1/TOP-3, SHAP, LIME</w:t>
            </w:r>
          </w:p>
        </w:tc>
        <w:tc>
          <w:tcPr>
            <w:tcW w:type="dxa" w:w="893"/>
          </w:tcPr>
          <w:p>
            <w:pPr>
              <w:keepNext/>
              <w:jc w:val="left"/>
            </w:pPr>
            <w:r/>
            <w:r>
              <w:rPr>
                <w:rFonts w:ascii="Times New Roman" w:hAnsi="Times New Roman" w:cs="Times New Roman" w:eastAsia="Times New Roman"/>
                <w:sz w:val="13"/>
              </w:rPr>
              <w:t>1,655 real cases, ICD-10</w:t>
            </w:r>
          </w:p>
        </w:tc>
        <w:tc>
          <w:tcPr>
            <w:tcW w:type="dxa" w:w="1008"/>
          </w:tcPr>
          <w:p>
            <w:pPr>
              <w:keepNext/>
              <w:jc w:val="left"/>
            </w:pPr>
            <w:r/>
            <w:r>
              <w:rPr>
                <w:rFonts w:ascii="Times New Roman" w:hAnsi="Times New Roman" w:cs="Times New Roman" w:eastAsia="Times New Roman"/>
                <w:sz w:val="13"/>
              </w:rPr>
              <w:t>GB 84.74%, MLP 87.20%</w:t>
            </w:r>
          </w:p>
        </w:tc>
        <w:tc>
          <w:tcPr>
            <w:tcW w:type="dxa" w:w="979"/>
          </w:tcPr>
          <w:p>
            <w:pPr>
              <w:keepNext/>
              <w:jc w:val="left"/>
            </w:pPr>
            <w:r/>
            <w:r>
              <w:rPr>
                <w:rFonts w:ascii="Times New Roman" w:hAnsi="Times New Roman" w:cs="Times New Roman" w:eastAsia="Times New Roman"/>
                <w:sz w:val="13"/>
              </w:rPr>
              <w:t>Text/tabular only; no OCR</w:t>
            </w:r>
          </w:p>
        </w:tc>
      </w:tr>
      <w:tr>
        <w:trPr>
          <w:cantSplit w:val="true"/>
        </w:trPr>
        <w:tc>
          <w:tcPr>
            <w:tcW w:type="dxa" w:w="893"/>
          </w:tcPr>
          <w:p>
            <w:pPr>
              <w:keepNext/>
              <w:jc w:val="left"/>
            </w:pPr>
            <w:r/>
            <w:r>
              <w:rPr>
                <w:rFonts w:ascii="Times New Roman" w:hAnsi="Times New Roman" w:cs="Times New Roman" w:eastAsia="Times New Roman"/>
                <w:sz w:val="13"/>
              </w:rPr>
              <w:t>Fernandes [7]</w:t>
            </w:r>
          </w:p>
        </w:tc>
        <w:tc>
          <w:tcPr>
            <w:tcW w:type="dxa" w:w="1123"/>
          </w:tcPr>
          <w:p>
            <w:pPr>
              <w:keepNext/>
              <w:jc w:val="left"/>
            </w:pPr>
            <w:r/>
            <w:r>
              <w:rPr>
                <w:rFonts w:ascii="Times New Roman" w:hAnsi="Times New Roman" w:cs="Times New Roman" w:eastAsia="Times New Roman"/>
                <w:sz w:val="13"/>
              </w:rPr>
              <w:t>Review of ED triage CDSS</w:t>
            </w:r>
          </w:p>
        </w:tc>
        <w:tc>
          <w:tcPr>
            <w:tcW w:type="dxa" w:w="893"/>
          </w:tcPr>
          <w:p>
            <w:pPr>
              <w:keepNext/>
              <w:jc w:val="left"/>
            </w:pPr>
            <w:r/>
            <w:r>
              <w:rPr>
                <w:rFonts w:ascii="Times New Roman" w:hAnsi="Times New Roman" w:cs="Times New Roman" w:eastAsia="Times New Roman"/>
                <w:sz w:val="13"/>
              </w:rPr>
              <w:t>many studies</w:t>
            </w:r>
          </w:p>
        </w:tc>
        <w:tc>
          <w:tcPr>
            <w:tcW w:type="dxa" w:w="1008"/>
          </w:tcPr>
          <w:p>
            <w:pPr>
              <w:keepNext/>
              <w:jc w:val="left"/>
            </w:pPr>
            <w:r/>
            <w:r>
              <w:rPr>
                <w:rFonts w:ascii="Times New Roman" w:hAnsi="Times New Roman" w:cs="Times New Roman" w:eastAsia="Times New Roman"/>
                <w:sz w:val="13"/>
              </w:rPr>
              <w:t>no pooled figure used</w:t>
            </w:r>
          </w:p>
        </w:tc>
        <w:tc>
          <w:tcPr>
            <w:tcW w:type="dxa" w:w="979"/>
          </w:tcPr>
          <w:p>
            <w:pPr>
              <w:keepNext/>
              <w:jc w:val="left"/>
            </w:pPr>
            <w:r/>
            <w:r>
              <w:rPr>
                <w:rFonts w:ascii="Times New Roman" w:hAnsi="Times New Roman" w:cs="Times New Roman" w:eastAsia="Times New Roman"/>
                <w:sz w:val="13"/>
              </w:rPr>
              <w:t>Few deployed systems</w:t>
            </w:r>
          </w:p>
        </w:tc>
      </w:tr>
      <w:tr>
        <w:trPr>
          <w:cantSplit w:val="true"/>
        </w:trPr>
        <w:tc>
          <w:tcPr>
            <w:tcW w:type="dxa" w:w="893"/>
          </w:tcPr>
          <w:p>
            <w:pPr>
              <w:keepNext/>
              <w:jc w:val="left"/>
            </w:pPr>
            <w:r/>
            <w:r>
              <w:rPr>
                <w:rFonts w:ascii="Times New Roman" w:hAnsi="Times New Roman" w:cs="Times New Roman" w:eastAsia="Times New Roman"/>
                <w:sz w:val="13"/>
              </w:rPr>
              <w:t>Hinson [3]</w:t>
            </w:r>
          </w:p>
        </w:tc>
        <w:tc>
          <w:tcPr>
            <w:tcW w:type="dxa" w:w="1123"/>
          </w:tcPr>
          <w:p>
            <w:pPr>
              <w:keepNext/>
              <w:jc w:val="left"/>
            </w:pPr>
            <w:r/>
            <w:r>
              <w:rPr>
                <w:rFonts w:ascii="Times New Roman" w:hAnsi="Times New Roman" w:cs="Times New Roman" w:eastAsia="Times New Roman"/>
                <w:sz w:val="13"/>
              </w:rPr>
              <w:t>Review of triage scales</w:t>
            </w:r>
          </w:p>
        </w:tc>
        <w:tc>
          <w:tcPr>
            <w:tcW w:type="dxa" w:w="893"/>
          </w:tcPr>
          <w:p>
            <w:pPr>
              <w:keepNext/>
              <w:jc w:val="left"/>
            </w:pPr>
            <w:r/>
            <w:r>
              <w:rPr>
                <w:rFonts w:ascii="Times New Roman" w:hAnsi="Times New Roman" w:cs="Times New Roman" w:eastAsia="Times New Roman"/>
                <w:sz w:val="13"/>
              </w:rPr>
              <w:t>182 studies</w:t>
            </w:r>
          </w:p>
        </w:tc>
        <w:tc>
          <w:tcPr>
            <w:tcW w:type="dxa" w:w="1008"/>
          </w:tcPr>
          <w:p>
            <w:pPr>
              <w:keepNext/>
              <w:jc w:val="left"/>
            </w:pPr>
            <w:r/>
            <w:r>
              <w:rPr>
                <w:rFonts w:ascii="Times New Roman" w:hAnsi="Times New Roman" w:cs="Times New Roman" w:eastAsia="Times New Roman"/>
                <w:sz w:val="13"/>
              </w:rPr>
              <w:t>sens. below 80% for critical illness</w:t>
            </w:r>
          </w:p>
        </w:tc>
        <w:tc>
          <w:tcPr>
            <w:tcW w:type="dxa" w:w="979"/>
          </w:tcPr>
          <w:p>
            <w:pPr>
              <w:keepNext/>
              <w:jc w:val="left"/>
            </w:pPr>
            <w:r/>
            <w:r>
              <w:rPr>
                <w:rFonts w:ascii="Times New Roman" w:hAnsi="Times New Roman" w:cs="Times New Roman" w:eastAsia="Times New Roman"/>
                <w:sz w:val="13"/>
              </w:rPr>
              <w:t>Scales, not ML</w:t>
            </w:r>
          </w:p>
        </w:tc>
      </w:tr>
      <w:tr>
        <w:trPr>
          <w:cantSplit w:val="true"/>
        </w:trPr>
        <w:tc>
          <w:tcPr>
            <w:tcW w:type="dxa" w:w="893"/>
          </w:tcPr>
          <w:p>
            <w:pPr>
              <w:keepNext/>
              <w:jc w:val="left"/>
            </w:pPr>
            <w:r/>
            <w:r>
              <w:rPr>
                <w:rFonts w:ascii="Times New Roman" w:hAnsi="Times New Roman" w:cs="Times New Roman" w:eastAsia="Times New Roman"/>
                <w:sz w:val="13"/>
              </w:rPr>
              <w:t>Hong [4]</w:t>
            </w:r>
          </w:p>
        </w:tc>
        <w:tc>
          <w:tcPr>
            <w:tcW w:type="dxa" w:w="1123"/>
          </w:tcPr>
          <w:p>
            <w:pPr>
              <w:keepNext/>
              <w:jc w:val="left"/>
            </w:pPr>
            <w:r/>
            <w:r>
              <w:rPr>
                <w:rFonts w:ascii="Times New Roman" w:hAnsi="Times New Roman" w:cs="Times New Roman" w:eastAsia="Times New Roman"/>
                <w:sz w:val="13"/>
              </w:rPr>
              <w:t>LR, XGBoost, deep nets</w:t>
            </w:r>
          </w:p>
        </w:tc>
        <w:tc>
          <w:tcPr>
            <w:tcW w:type="dxa" w:w="893"/>
          </w:tcPr>
          <w:p>
            <w:pPr>
              <w:keepNext/>
              <w:jc w:val="left"/>
            </w:pPr>
            <w:r/>
            <w:r>
              <w:rPr>
                <w:rFonts w:ascii="Times New Roman" w:hAnsi="Times New Roman" w:cs="Times New Roman" w:eastAsia="Times New Roman"/>
                <w:sz w:val="13"/>
              </w:rPr>
              <w:t>560,486 ED visits</w:t>
            </w:r>
          </w:p>
        </w:tc>
        <w:tc>
          <w:tcPr>
            <w:tcW w:type="dxa" w:w="1008"/>
          </w:tcPr>
          <w:p>
            <w:pPr>
              <w:keepNext/>
              <w:jc w:val="left"/>
            </w:pPr>
            <w:r/>
            <w:r>
              <w:rPr>
                <w:rFonts w:ascii="Times New Roman" w:hAnsi="Times New Roman" w:cs="Times New Roman" w:eastAsia="Times New Roman"/>
                <w:sz w:val="13"/>
              </w:rPr>
              <w:t>AUC about 0.87 to 0.92</w:t>
            </w:r>
          </w:p>
        </w:tc>
        <w:tc>
          <w:tcPr>
            <w:tcW w:type="dxa" w:w="979"/>
          </w:tcPr>
          <w:p>
            <w:pPr>
              <w:keepNext/>
              <w:jc w:val="left"/>
            </w:pPr>
            <w:r/>
            <w:r>
              <w:rPr>
                <w:rFonts w:ascii="Times New Roman" w:hAnsi="Times New Roman" w:cs="Times New Roman" w:eastAsia="Times New Roman"/>
                <w:sz w:val="13"/>
              </w:rPr>
              <w:t>Admission, not priority</w:t>
            </w:r>
          </w:p>
        </w:tc>
      </w:tr>
      <w:tr>
        <w:trPr>
          <w:cantSplit w:val="true"/>
        </w:trPr>
        <w:tc>
          <w:tcPr>
            <w:tcW w:type="dxa" w:w="893"/>
          </w:tcPr>
          <w:p>
            <w:pPr>
              <w:keepNext/>
              <w:jc w:val="left"/>
            </w:pPr>
            <w:r/>
            <w:r>
              <w:rPr>
                <w:rFonts w:ascii="Times New Roman" w:hAnsi="Times New Roman" w:cs="Times New Roman" w:eastAsia="Times New Roman"/>
                <w:sz w:val="13"/>
              </w:rPr>
              <w:t>Levin [5]</w:t>
            </w:r>
          </w:p>
        </w:tc>
        <w:tc>
          <w:tcPr>
            <w:tcW w:type="dxa" w:w="1123"/>
          </w:tcPr>
          <w:p>
            <w:pPr>
              <w:keepNext/>
              <w:jc w:val="left"/>
            </w:pPr>
            <w:r/>
            <w:r>
              <w:rPr>
                <w:rFonts w:ascii="Times New Roman" w:hAnsi="Times New Roman" w:cs="Times New Roman" w:eastAsia="Times New Roman"/>
                <w:sz w:val="13"/>
              </w:rPr>
              <w:t>Random-forest e-triage</w:t>
            </w:r>
          </w:p>
        </w:tc>
        <w:tc>
          <w:tcPr>
            <w:tcW w:type="dxa" w:w="893"/>
          </w:tcPr>
          <w:p>
            <w:pPr>
              <w:keepNext/>
              <w:jc w:val="left"/>
            </w:pPr>
            <w:r/>
            <w:r>
              <w:rPr>
                <w:rFonts w:ascii="Times New Roman" w:hAnsi="Times New Roman" w:cs="Times New Roman" w:eastAsia="Times New Roman"/>
                <w:sz w:val="13"/>
              </w:rPr>
              <w:t>172,726 visits</w:t>
            </w:r>
          </w:p>
        </w:tc>
        <w:tc>
          <w:tcPr>
            <w:tcW w:type="dxa" w:w="1008"/>
          </w:tcPr>
          <w:p>
            <w:pPr>
              <w:keepNext/>
              <w:jc w:val="left"/>
            </w:pPr>
            <w:r/>
            <w:r>
              <w:rPr>
                <w:rFonts w:ascii="Times New Roman" w:hAnsi="Times New Roman" w:cs="Times New Roman" w:eastAsia="Times New Roman"/>
                <w:sz w:val="13"/>
              </w:rPr>
              <w:t>AUC 0.73-0.92</w:t>
            </w:r>
          </w:p>
        </w:tc>
        <w:tc>
          <w:tcPr>
            <w:tcW w:type="dxa" w:w="979"/>
          </w:tcPr>
          <w:p>
            <w:pPr>
              <w:keepNext/>
              <w:jc w:val="left"/>
            </w:pPr>
            <w:r/>
            <w:r>
              <w:rPr>
                <w:rFonts w:ascii="Times New Roman" w:hAnsi="Times New Roman" w:cs="Times New Roman" w:eastAsia="Times New Roman"/>
                <w:sz w:val="13"/>
              </w:rPr>
              <w:t>Outcomes, not 5 levels</w:t>
            </w:r>
          </w:p>
        </w:tc>
      </w:tr>
      <w:tr>
        <w:trPr>
          <w:cantSplit w:val="true"/>
        </w:trPr>
        <w:tc>
          <w:tcPr>
            <w:tcW w:type="dxa" w:w="893"/>
          </w:tcPr>
          <w:p>
            <w:pPr>
              <w:keepNext/>
              <w:jc w:val="left"/>
            </w:pPr>
            <w:r/>
            <w:r>
              <w:rPr>
                <w:rFonts w:ascii="Times New Roman" w:hAnsi="Times New Roman" w:cs="Times New Roman" w:eastAsia="Times New Roman"/>
                <w:sz w:val="13"/>
              </w:rPr>
              <w:t>Raita [6]</w:t>
            </w:r>
          </w:p>
        </w:tc>
        <w:tc>
          <w:tcPr>
            <w:tcW w:type="dxa" w:w="1123"/>
          </w:tcPr>
          <w:p>
            <w:pPr>
              <w:keepNext/>
              <w:jc w:val="left"/>
            </w:pPr>
            <w:r/>
            <w:r>
              <w:rPr>
                <w:rFonts w:ascii="Times New Roman" w:hAnsi="Times New Roman" w:cs="Times New Roman" w:eastAsia="Times New Roman"/>
                <w:sz w:val="13"/>
              </w:rPr>
              <w:t>Lasso, RF, GBDT, DNN</w:t>
            </w:r>
          </w:p>
        </w:tc>
        <w:tc>
          <w:tcPr>
            <w:tcW w:type="dxa" w:w="893"/>
          </w:tcPr>
          <w:p>
            <w:pPr>
              <w:keepNext/>
              <w:jc w:val="left"/>
            </w:pPr>
            <w:r/>
            <w:r>
              <w:rPr>
                <w:rFonts w:ascii="Times New Roman" w:hAnsi="Times New Roman" w:cs="Times New Roman" w:eastAsia="Times New Roman"/>
                <w:sz w:val="13"/>
              </w:rPr>
              <w:t>135,470 visits</w:t>
            </w:r>
          </w:p>
        </w:tc>
        <w:tc>
          <w:tcPr>
            <w:tcW w:type="dxa" w:w="1008"/>
          </w:tcPr>
          <w:p>
            <w:pPr>
              <w:keepNext/>
              <w:jc w:val="left"/>
            </w:pPr>
            <w:r/>
            <w:r>
              <w:rPr>
                <w:rFonts w:ascii="Times New Roman" w:hAnsi="Times New Roman" w:cs="Times New Roman" w:eastAsia="Times New Roman"/>
                <w:sz w:val="13"/>
              </w:rPr>
              <w:t>DNN AUC 0.86 vs 0.74</w:t>
            </w:r>
          </w:p>
        </w:tc>
        <w:tc>
          <w:tcPr>
            <w:tcW w:type="dxa" w:w="979"/>
          </w:tcPr>
          <w:p>
            <w:pPr>
              <w:keepNext/>
              <w:jc w:val="left"/>
            </w:pPr>
            <w:r/>
            <w:r>
              <w:rPr>
                <w:rFonts w:ascii="Times New Roman" w:hAnsi="Times New Roman" w:cs="Times New Roman" w:eastAsia="Times New Roman"/>
                <w:sz w:val="13"/>
              </w:rPr>
              <w:t>Structured fields only</w:t>
            </w:r>
          </w:p>
        </w:tc>
      </w:tr>
      <w:tr>
        <w:trPr>
          <w:cantSplit w:val="true"/>
        </w:trPr>
        <w:tc>
          <w:tcPr>
            <w:tcW w:type="dxa" w:w="893"/>
          </w:tcPr>
          <w:p>
            <w:pPr>
              <w:keepNext/>
              <w:jc w:val="left"/>
            </w:pPr>
            <w:r/>
            <w:r>
              <w:rPr>
                <w:rFonts w:ascii="Times New Roman" w:hAnsi="Times New Roman" w:cs="Times New Roman" w:eastAsia="Times New Roman"/>
                <w:sz w:val="13"/>
              </w:rPr>
              <w:t>Xie [11]</w:t>
            </w:r>
          </w:p>
        </w:tc>
        <w:tc>
          <w:tcPr>
            <w:tcW w:type="dxa" w:w="1123"/>
          </w:tcPr>
          <w:p>
            <w:pPr>
              <w:keepNext/>
              <w:jc w:val="left"/>
            </w:pPr>
            <w:r/>
            <w:r>
              <w:rPr>
                <w:rFonts w:ascii="Times New Roman" w:hAnsi="Times New Roman" w:cs="Times New Roman" w:eastAsia="Times New Roman"/>
                <w:sz w:val="13"/>
              </w:rPr>
              <w:t>Public benchmark, ML models</w:t>
            </w:r>
          </w:p>
        </w:tc>
        <w:tc>
          <w:tcPr>
            <w:tcW w:type="dxa" w:w="893"/>
          </w:tcPr>
          <w:p>
            <w:pPr>
              <w:keepNext/>
              <w:jc w:val="left"/>
            </w:pPr>
            <w:r/>
            <w:r>
              <w:rPr>
                <w:rFonts w:ascii="Times New Roman" w:hAnsi="Times New Roman" w:cs="Times New Roman" w:eastAsia="Times New Roman"/>
                <w:sz w:val="13"/>
              </w:rPr>
              <w:t>MIMIC-IV-ED</w:t>
            </w:r>
          </w:p>
        </w:tc>
        <w:tc>
          <w:tcPr>
            <w:tcW w:type="dxa" w:w="1008"/>
          </w:tcPr>
          <w:p>
            <w:pPr>
              <w:keepNext/>
              <w:jc w:val="left"/>
            </w:pPr>
            <w:r/>
            <w:r>
              <w:rPr>
                <w:rFonts w:ascii="Times New Roman" w:hAnsi="Times New Roman" w:cs="Times New Roman" w:eastAsia="Times New Roman"/>
                <w:sz w:val="13"/>
              </w:rPr>
              <w:t>task AUCs (not quoted)</w:t>
            </w:r>
          </w:p>
        </w:tc>
        <w:tc>
          <w:tcPr>
            <w:tcW w:type="dxa" w:w="979"/>
          </w:tcPr>
          <w:p>
            <w:pPr>
              <w:keepNext/>
              <w:jc w:val="left"/>
            </w:pPr>
            <w:r/>
            <w:r>
              <w:rPr>
                <w:rFonts w:ascii="Times New Roman" w:hAnsi="Times New Roman" w:cs="Times New Roman" w:eastAsia="Times New Roman"/>
                <w:sz w:val="13"/>
              </w:rPr>
              <w:t>No scanned reports</w:t>
            </w:r>
          </w:p>
        </w:tc>
      </w:tr>
      <w:tr>
        <w:trPr>
          <w:cantSplit w:val="true"/>
        </w:trPr>
        <w:tc>
          <w:tcPr>
            <w:tcW w:type="dxa" w:w="893"/>
          </w:tcPr>
          <w:p>
            <w:pPr>
              <w:jc w:val="left"/>
            </w:pPr>
            <w:r/>
            <w:r>
              <w:rPr>
                <w:rFonts w:ascii="Times New Roman" w:hAnsi="Times New Roman" w:cs="Times New Roman" w:eastAsia="Times New Roman"/>
                <w:sz w:val="13"/>
              </w:rPr>
              <w:t>Cheng [15]</w:t>
            </w:r>
          </w:p>
        </w:tc>
        <w:tc>
          <w:tcPr>
            <w:tcW w:type="dxa" w:w="1123"/>
          </w:tcPr>
          <w:p>
            <w:pPr>
              <w:jc w:val="left"/>
            </w:pPr>
            <w:r/>
            <w:r>
              <w:rPr>
                <w:rFonts w:ascii="Times New Roman" w:hAnsi="Times New Roman" w:cs="Times New Roman" w:eastAsia="Times New Roman"/>
                <w:sz w:val="13"/>
              </w:rPr>
              <w:t>Multi-agent LLM matching</w:t>
            </w:r>
          </w:p>
        </w:tc>
        <w:tc>
          <w:tcPr>
            <w:tcW w:type="dxa" w:w="893"/>
          </w:tcPr>
          <w:p>
            <w:pPr>
              <w:jc w:val="left"/>
            </w:pPr>
            <w:r/>
            <w:r>
              <w:rPr>
                <w:rFonts w:ascii="Times New Roman" w:hAnsi="Times New Roman" w:cs="Times New Roman" w:eastAsia="Times New Roman"/>
                <w:sz w:val="13"/>
              </w:rPr>
              <w:t>text vignettes</w:t>
            </w:r>
          </w:p>
        </w:tc>
        <w:tc>
          <w:tcPr>
            <w:tcW w:type="dxa" w:w="1008"/>
          </w:tcPr>
          <w:p>
            <w:pPr>
              <w:jc w:val="left"/>
            </w:pPr>
            <w:r/>
            <w:r>
              <w:rPr>
                <w:rFonts w:ascii="Times New Roman" w:hAnsi="Times New Roman" w:cs="Times New Roman" w:eastAsia="Times New Roman"/>
                <w:sz w:val="13"/>
              </w:rPr>
              <w:t>not read in full</w:t>
            </w:r>
          </w:p>
        </w:tc>
        <w:tc>
          <w:tcPr>
            <w:tcW w:type="dxa" w:w="979"/>
          </w:tcPr>
          <w:p>
            <w:pPr>
              <w:jc w:val="left"/>
            </w:pPr>
            <w:r/>
            <w:r>
              <w:rPr>
                <w:rFonts w:ascii="Times New Roman" w:hAnsi="Times New Roman" w:cs="Times New Roman" w:eastAsia="Times New Roman"/>
                <w:sz w:val="13"/>
              </w:rPr>
              <w:t>No vitals fusion</w:t>
            </w:r>
          </w:p>
        </w:tc>
      </w:tr>
    </w:tbl>
    <w:p>
      <w:pPr>
        <w:spacing w:after="60"/>
      </w:pPr>
      <w:r>
        <w:rPr>
          <w:rFonts w:ascii="Times New Roman" w:hAnsi="Times New Roman" w:cs="Times New Roman" w:eastAsia="Times New Roman"/>
          <w:sz w:val="8"/>
        </w:rPr>
      </w:r>
    </w:p>
    <w:p>
      <w:pPr>
        <w:keepNext w:val="0"/>
        <w:spacing w:after="0" w:before="0" w:line="240" w:lineRule="auto"/>
        <w:ind w:firstLine="288"/>
        <w:jc w:val="both"/>
      </w:pPr>
      <w:r>
        <w:rPr>
          <w:rFonts w:ascii="Times New Roman" w:hAnsi="Times New Roman" w:cs="Times New Roman" w:eastAsia="Times New Roman"/>
          <w:b/>
          <w:sz w:val="20"/>
        </w:rPr>
        <w:t>Evaluation practice.</w:t>
      </w:r>
      <w:r>
        <w:rPr>
          <w:rFonts w:ascii="Times New Roman" w:hAnsi="Times New Roman" w:cs="Times New Roman" w:eastAsia="Times New Roman"/>
          <w:sz w:val="20"/>
        </w:rPr>
        <w:t xml:space="preserve"> The large retrospective studies above use real visits and report discrimination as area under the curve for admission or critical care, not agreement on a five-level priority, so they cannot be compared with a priority accuracy. The base paper is careful about leakage: its synthetic rare-disease cases were generated before the evaluation data were collected, only 0.7 % and 0.3 % of test cases repeat a training symptom pattern, and a separate facility supplies external validation [1]. A model trained on labels produced by a rule can only show that it has recovered the rule, and the evaluation in Section IV is read with that limit in mind. Reporting guidance for prediction models asks for the origin of the data, the split and the intended use to be stated [19].</w:t>
      </w:r>
    </w:p>
    <w:p>
      <w:pPr>
        <w:keepNext w:val="0"/>
        <w:spacing w:after="0" w:before="0" w:line="240" w:lineRule="auto"/>
        <w:ind w:firstLine="288"/>
        <w:jc w:val="both"/>
      </w:pPr>
      <w:r>
        <w:rPr>
          <w:rFonts w:ascii="Times New Roman" w:hAnsi="Times New Roman" w:cs="Times New Roman" w:eastAsia="Times New Roman"/>
          <w:b/>
          <w:sz w:val="20"/>
        </w:rPr>
        <w:t>Gap.</w:t>
      </w:r>
      <w:r>
        <w:rPr>
          <w:rFonts w:ascii="Times New Roman" w:hAnsi="Times New Roman" w:cs="Times New Roman" w:eastAsia="Times New Roman"/>
          <w:sz w:val="20"/>
        </w:rPr>
        <w:t xml:space="preserve"> The surveyed models are evaluated on single-modality structured data, and their targets are admission, critical care or diagnosis rather than a five-level priority. None fuses a scanned report with vitals, shows a per-patient reason beside the decision, records the clinician's acceptance or change, and measures processing time per patient. ATHENA addresses these four points on synthetic data, and the survey also shows what it does not attempt: it uses no language model, no retrieval and no multi-agent control.</w:t>
      </w:r>
    </w:p>
    <w:p>
      <w:pPr>
        <w:keepNext/>
        <w:spacing w:before="160" w:after="80"/>
        <w:jc w:val="center"/>
      </w:pPr>
      <w:r>
        <w:rPr>
          <w:rFonts w:ascii="Times New Roman" w:hAnsi="Times New Roman" w:cs="Times New Roman" w:eastAsia="Times New Roman"/>
          <w:b/>
          <w:sz w:val="20"/>
        </w:rPr>
        <w:t>III. METHODOLOGY</w:t>
      </w:r>
    </w:p>
    <w:p>
      <w:pPr>
        <w:keepNext w:val="0"/>
        <w:spacing w:after="0" w:before="0" w:line="240" w:lineRule="auto"/>
        <w:ind w:firstLine="288"/>
        <w:jc w:val="both"/>
      </w:pPr>
      <w:r>
        <w:rPr>
          <w:rFonts w:ascii="Times New Roman" w:hAnsi="Times New Roman" w:cs="Times New Roman" w:eastAsia="Times New Roman"/>
          <w:b/>
          <w:sz w:val="20"/>
        </w:rPr>
        <w:t>Architecture.</w:t>
      </w:r>
      <w:r>
        <w:rPr>
          <w:rFonts w:ascii="Times New Roman" w:hAnsi="Times New Roman" w:cs="Times New Roman" w:eastAsia="Times New Roman"/>
          <w:sz w:val="20"/>
        </w:rPr>
        <w:t xml:space="preserve"> Fig. 1 shows the layers. A React single-page app calls a FastAPI service through 13 endpoints. Everything except health, public statistics and sign-in needs a bearer token. Patients, users and clinician decisions are stored in SQLite; the model and sample reports are files. Clinicians and administrators sign in with separate roles.</w:t>
      </w:r>
    </w:p>
    <w:p>
      <w:pPr>
        <w:keepNext/>
        <w:spacing w:before="80"/>
        <w:jc w:val="center"/>
      </w:pPr>
      <w:r>
        <w:drawing>
          <wp:inline xmlns:a="http://schemas.openxmlformats.org/drawingml/2006/main" xmlns:pic="http://schemas.openxmlformats.org/drawingml/2006/picture">
            <wp:extent cx="3108960" cy="2398341"/>
            <wp:docPr id="1" name="Picture 1"/>
            <wp:cNvGraphicFramePr>
              <a:graphicFrameLocks noChangeAspect="1"/>
            </wp:cNvGraphicFramePr>
            <a:graphic>
              <a:graphicData uri="http://schemas.openxmlformats.org/drawingml/2006/picture">
                <pic:pic>
                  <pic:nvPicPr>
                    <pic:cNvPr id="0" name="paper_arch.png"/>
                    <pic:cNvPicPr/>
                  </pic:nvPicPr>
                  <pic:blipFill>
                    <a:blip r:embed="rId9"/>
                    <a:stretch>
                      <a:fillRect/>
                    </a:stretch>
                  </pic:blipFill>
                  <pic:spPr>
                    <a:xfrm>
                      <a:off x="0" y="0"/>
                      <a:ext cx="3108960" cy="2398341"/>
                    </a:xfrm>
                    <a:prstGeom prst="rect"/>
                  </pic:spPr>
                </pic:pic>
              </a:graphicData>
            </a:graphic>
          </wp:inline>
        </w:drawing>
      </w:r>
    </w:p>
    <w:p>
      <w:pPr>
        <w:spacing w:after="100"/>
        <w:jc w:val="center"/>
      </w:pPr>
      <w:r>
        <w:rPr>
          <w:rFonts w:ascii="Times New Roman" w:hAnsi="Times New Roman" w:cs="Times New Roman" w:eastAsia="Times New Roman"/>
          <w:sz w:val="16"/>
        </w:rPr>
        <w:t>Fig. 1. ATHENA architecture: browser app, API, four services and storage.</w:t>
      </w:r>
    </w:p>
    <w:p>
      <w:pPr>
        <w:keepNext w:val="0"/>
        <w:spacing w:after="0" w:before="0" w:line="240" w:lineRule="auto"/>
        <w:ind w:firstLine="288"/>
        <w:jc w:val="both"/>
      </w:pPr>
      <w:r>
        <w:rPr>
          <w:rFonts w:ascii="Times New Roman" w:hAnsi="Times New Roman" w:cs="Times New Roman" w:eastAsia="Times New Roman"/>
          <w:b/>
          <w:sz w:val="20"/>
        </w:rPr>
        <w:t>Report reading.</w:t>
      </w:r>
      <w:r>
        <w:rPr>
          <w:rFonts w:ascii="Times New Roman" w:hAnsi="Times New Roman" w:cs="Times New Roman" w:eastAsia="Times New Roman"/>
          <w:sz w:val="20"/>
        </w:rPr>
        <w:t xml:space="preserve"> A PDF page is read from its text layer with pypdf; a page with fewer than 20 characters falls back to OCR of its embedded image, and PNG or JPG uploads go straight to RapidOCR (upscaled when small, boxes sorted into reading order). Wrapped lines are rejoined and each sentence is matched against a lexicon of 22 flags (11 symptoms, 5 findings, 6 history items). A match is dropped when a negation cue (no, denies, without, negative for, not, nil, ruled out) occurs within 45 characters before it. Spaces in phrases tolerate OCR run-ons. Six laboratory values (troponin, lactate, white-cell count, glucose, creatinine, haemoglobin) are parsed with their units and compared with fixed reference ranges, and an abnormal value sets its flag. Every item keeps its page number, so a clinician can find the source line.</w:t>
      </w:r>
    </w:p>
    <w:p>
      <w:pPr>
        <w:keepNext/>
        <w:spacing w:before="80"/>
        <w:jc w:val="center"/>
      </w:pPr>
      <w:r>
        <w:drawing>
          <wp:inline xmlns:a="http://schemas.openxmlformats.org/drawingml/2006/main" xmlns:pic="http://schemas.openxmlformats.org/drawingml/2006/picture">
            <wp:extent cx="3108960" cy="2265099"/>
            <wp:docPr id="2" name="Picture 2"/>
            <wp:cNvGraphicFramePr>
              <a:graphicFrameLocks noChangeAspect="1"/>
            </wp:cNvGraphicFramePr>
            <a:graphic>
              <a:graphicData uri="http://schemas.openxmlformats.org/drawingml/2006/picture">
                <pic:pic>
                  <pic:nvPicPr>
                    <pic:cNvPr id="0" name="paper_flow.png"/>
                    <pic:cNvPicPr/>
                  </pic:nvPicPr>
                  <pic:blipFill>
                    <a:blip r:embed="rId10"/>
                    <a:stretch>
                      <a:fillRect/>
                    </a:stretch>
                  </pic:blipFill>
                  <pic:spPr>
                    <a:xfrm>
                      <a:off x="0" y="0"/>
                      <a:ext cx="3108960" cy="2265099"/>
                    </a:xfrm>
                    <a:prstGeom prst="rect"/>
                  </pic:spPr>
                </pic:pic>
              </a:graphicData>
            </a:graphic>
          </wp:inline>
        </w:drawing>
      </w:r>
    </w:p>
    <w:p>
      <w:pPr>
        <w:spacing w:after="100"/>
        <w:jc w:val="center"/>
      </w:pPr>
      <w:r>
        <w:rPr>
          <w:rFonts w:ascii="Times New Roman" w:hAnsi="Times New Roman" w:cs="Times New Roman" w:eastAsia="Times New Roman"/>
          <w:sz w:val="16"/>
        </w:rPr>
        <w:t>Fig. 2. Main flow from upload to the clinician's decision.</w:t>
      </w:r>
    </w:p>
    <w:p>
      <w:pPr>
        <w:keepNext w:val="0"/>
        <w:spacing w:after="0" w:before="0" w:line="240" w:lineRule="auto"/>
        <w:ind w:firstLine="288"/>
        <w:jc w:val="both"/>
      </w:pPr>
      <w:r>
        <w:rPr>
          <w:rFonts w:ascii="Times New Roman" w:hAnsi="Times New Roman" w:cs="Times New Roman" w:eastAsia="Times New Roman"/>
          <w:b/>
          <w:sz w:val="20"/>
        </w:rPr>
        <w:t>Interface and roles.</w:t>
      </w:r>
      <w:r>
        <w:rPr>
          <w:rFonts w:ascii="Times New Roman" w:hAnsi="Times New Roman" w:cs="Times New Roman" w:eastAsia="Times New Roman"/>
          <w:sz w:val="20"/>
        </w:rPr>
        <w:t xml:space="preserve"> The app has six screens. A new patient is entered by choosing or dropping a report, which is read at once and shown as chips labelled with their page, then by checking the eight vitals. The result screen shows the priority, risk level and confidence, the fused record beside the extracted findings, the SHAP bars and the accept-or-change control. The queue refreshes every 15 seconds and can be filtered by priority. The performance screen reads the stored evaluation files and a banner states that the data are synthetic.</w:t>
      </w:r>
    </w:p>
    <w:p>
      <w:pPr>
        <w:keepNext w:val="0"/>
        <w:spacing w:after="0" w:before="0" w:line="240" w:lineRule="auto"/>
        <w:ind w:firstLine="288"/>
        <w:jc w:val="both"/>
      </w:pPr>
      <w:r>
        <w:rPr>
          <w:rFonts w:ascii="Times New Roman" w:hAnsi="Times New Roman" w:cs="Times New Roman" w:eastAsia="Times New Roman"/>
          <w:b/>
          <w:sz w:val="20"/>
        </w:rPr>
        <w:t>Fused record.</w:t>
      </w:r>
      <w:r>
        <w:rPr>
          <w:rFonts w:ascii="Times New Roman" w:hAnsi="Times New Roman" w:cs="Times New Roman" w:eastAsia="Times New Roman"/>
          <w:sz w:val="20"/>
        </w:rPr>
        <w:t xml:space="preserve"> The eight vitals (age, heart rate, systolic and diastolic pressure, SpO2, temperature, respiratory rate and arrival mode coded 0 to 2) and the 28 report flags give a 36-input vector. A finding that the report does not mention is 0, so no value is imputed, as in the base paper.</w:t>
      </w:r>
    </w:p>
    <w:p>
      <w:pPr>
        <w:keepNext w:val="0"/>
        <w:spacing w:after="0" w:before="0" w:line="240" w:lineRule="auto"/>
        <w:ind w:firstLine="288"/>
        <w:jc w:val="both"/>
      </w:pPr>
      <w:r>
        <w:rPr>
          <w:rFonts w:ascii="Times New Roman" w:hAnsi="Times New Roman" w:cs="Times New Roman" w:eastAsia="Times New Roman"/>
          <w:b/>
          <w:sz w:val="20"/>
        </w:rPr>
        <w:t>Model.</w:t>
      </w:r>
      <w:r>
        <w:rPr>
          <w:rFonts w:ascii="Times New Roman" w:hAnsi="Times New Roman" w:cs="Times New Roman" w:eastAsia="Times New Roman"/>
          <w:sz w:val="20"/>
        </w:rPr>
        <w:t xml:space="preserve"> An XGBoost classifier [8] (220 trees, depth 4, learning rate 0.1, subsample 0.9) is trained with a softmax objective on 3,840 cases. Isotonic calibration [17] is fitted on a separate 960 cases so that the largest calibrated probability can be read as a confidence. With P(k | x) the calibrated probability of priority k for input x, the assigned priority is</w:t>
      </w:r>
    </w:p>
    <w:p>
      <w:pPr>
        <w:keepLines/>
        <w:spacing w:before="40" w:after="40"/>
        <w:jc w:val="center"/>
      </w:pPr>
      <w:r>
        <w:rPr>
          <w:rFonts w:ascii="Times New Roman" w:hAnsi="Times New Roman" w:cs="Times New Roman" w:eastAsia="Times New Roman"/>
          <w:b w:val="0"/>
          <w:i/>
          <w:sz w:val="20"/>
        </w:rPr>
        <w:t>k* = argmax</w:t>
      </w:r>
      <w:r>
        <w:rPr>
          <w:rFonts w:ascii="Times New Roman" w:hAnsi="Times New Roman" w:cs="Times New Roman" w:eastAsia="Times New Roman"/>
          <w:b w:val="0"/>
          <w:i/>
          <w:sz w:val="20"/>
          <w:vertAlign w:val="subscript"/>
        </w:rPr>
        <w:t>k</w:t>
      </w:r>
      <w:r>
        <w:rPr>
          <w:rFonts w:ascii="Times New Roman" w:hAnsi="Times New Roman" w:cs="Times New Roman" w:eastAsia="Times New Roman"/>
          <w:b w:val="0"/>
          <w:i/>
          <w:sz w:val="20"/>
        </w:rPr>
        <w:t xml:space="preserve">  P(k | x),     confidence = P(k* | x).</w:t>
      </w:r>
      <w:r>
        <w:rPr>
          <w:rFonts w:ascii="Times New Roman" w:hAnsi="Times New Roman" w:cs="Times New Roman" w:eastAsia="Times New Roman"/>
          <w:sz w:val="20"/>
        </w:rPr>
        <w:t xml:space="preserve">        (1)</w:t>
      </w:r>
    </w:p>
    <w:p>
      <w:pPr>
        <w:keepNext w:val="0"/>
        <w:spacing w:after="0" w:before="0" w:line="240" w:lineRule="auto"/>
        <w:ind w:firstLine="288"/>
        <w:jc w:val="both"/>
      </w:pPr>
      <w:r>
        <w:rPr>
          <w:rFonts w:ascii="Times New Roman" w:hAnsi="Times New Roman" w:cs="Times New Roman" w:eastAsia="Times New Roman"/>
          <w:sz w:val="20"/>
        </w:rPr>
        <w:t>Priorities 1-2 map to High risk, 3 to Moderate and 4-5 to Low. The reasons come from TreeSHAP [16]: for the chosen class the prediction is the base value plus one additive contribution per input,</w:t>
      </w:r>
    </w:p>
    <w:p>
      <w:pPr>
        <w:keepLines/>
        <w:spacing w:before="40" w:after="40"/>
        <w:jc w:val="center"/>
      </w:pPr>
      <w:r>
        <w:rPr>
          <w:rFonts w:ascii="Times New Roman" w:hAnsi="Times New Roman" w:cs="Times New Roman" w:eastAsia="Times New Roman"/>
          <w:b w:val="0"/>
          <w:i/>
          <w:sz w:val="20"/>
        </w:rPr>
        <w:t>f</w:t>
      </w:r>
      <w:r>
        <w:rPr>
          <w:rFonts w:ascii="Times New Roman" w:hAnsi="Times New Roman" w:cs="Times New Roman" w:eastAsia="Times New Roman"/>
          <w:b w:val="0"/>
          <w:i/>
          <w:sz w:val="20"/>
          <w:vertAlign w:val="subscript"/>
        </w:rPr>
        <w:t>k</w:t>
      </w:r>
      <w:r>
        <w:rPr>
          <w:rFonts w:ascii="Times New Roman" w:hAnsi="Times New Roman" w:cs="Times New Roman" w:eastAsia="Times New Roman"/>
          <w:b w:val="0"/>
          <w:i/>
          <w:sz w:val="20"/>
        </w:rPr>
        <w:t>(x) = φ</w:t>
      </w:r>
      <w:r>
        <w:rPr>
          <w:rFonts w:ascii="Times New Roman" w:hAnsi="Times New Roman" w:cs="Times New Roman" w:eastAsia="Times New Roman"/>
          <w:b w:val="0"/>
          <w:i/>
          <w:sz w:val="20"/>
          <w:vertAlign w:val="subscript"/>
        </w:rPr>
        <w:t>0</w:t>
      </w:r>
      <w:r>
        <w:rPr>
          <w:rFonts w:ascii="Times New Roman" w:hAnsi="Times New Roman" w:cs="Times New Roman" w:eastAsia="Times New Roman"/>
          <w:b w:val="0"/>
          <w:i/>
          <w:sz w:val="20"/>
        </w:rPr>
        <w:t xml:space="preserve"> + Σ</w:t>
      </w:r>
      <w:r>
        <w:rPr>
          <w:rFonts w:ascii="Times New Roman" w:hAnsi="Times New Roman" w:cs="Times New Roman" w:eastAsia="Times New Roman"/>
          <w:b w:val="0"/>
          <w:i/>
          <w:sz w:val="20"/>
          <w:vertAlign w:val="subscript"/>
        </w:rPr>
        <w:t>i</w:t>
      </w:r>
      <w:r>
        <w:rPr>
          <w:rFonts w:ascii="Times New Roman" w:hAnsi="Times New Roman" w:cs="Times New Roman" w:eastAsia="Times New Roman"/>
          <w:b w:val="0"/>
          <w:i/>
          <w:sz w:val="20"/>
        </w:rPr>
        <w:t xml:space="preserve"> φ</w:t>
      </w:r>
      <w:r>
        <w:rPr>
          <w:rFonts w:ascii="Times New Roman" w:hAnsi="Times New Roman" w:cs="Times New Roman" w:eastAsia="Times New Roman"/>
          <w:b w:val="0"/>
          <w:i/>
          <w:sz w:val="20"/>
          <w:vertAlign w:val="subscript"/>
        </w:rPr>
        <w:t>i</w:t>
      </w:r>
      <w:r>
        <w:rPr>
          <w:rFonts w:ascii="Times New Roman" w:hAnsi="Times New Roman" w:cs="Times New Roman" w:eastAsia="Times New Roman"/>
          <w:b w:val="0"/>
          <w:i/>
          <w:sz w:val="20"/>
        </w:rPr>
        <w:t>(x),</w:t>
      </w:r>
      <w:r>
        <w:rPr>
          <w:rFonts w:ascii="Times New Roman" w:hAnsi="Times New Roman" w:cs="Times New Roman" w:eastAsia="Times New Roman"/>
          <w:sz w:val="20"/>
        </w:rPr>
        <w:t xml:space="preserve">        (2)</w:t>
      </w:r>
    </w:p>
    <w:p>
      <w:pPr>
        <w:keepNext w:val="0"/>
        <w:spacing w:after="0" w:before="0" w:line="240" w:lineRule="auto"/>
        <w:jc w:val="both"/>
      </w:pPr>
      <w:r>
        <w:rPr>
          <w:rFonts w:ascii="Times New Roman" w:hAnsi="Times New Roman" w:cs="Times New Roman" w:eastAsia="Times New Roman"/>
          <w:sz w:val="20"/>
        </w:rPr>
        <w:t>and the eight strongest contributions are listed in order of absolute size, hiding absent flags whose effect is below 0.15. The clinician can accept the priority or change it with a reason; the model's original suggestion is kept beside the final priority, and the queue is ordered by priority and then arrival.</w:t>
      </w:r>
    </w:p>
    <w:p>
      <w:pPr>
        <w:keepNext w:val="0"/>
        <w:spacing w:after="0" w:before="0" w:line="240" w:lineRule="auto"/>
        <w:ind w:firstLine="288"/>
        <w:jc w:val="both"/>
      </w:pPr>
      <w:r>
        <w:rPr>
          <w:rFonts w:ascii="Times New Roman" w:hAnsi="Times New Roman" w:cs="Times New Roman" w:eastAsia="Times New Roman"/>
          <w:b/>
          <w:sz w:val="20"/>
        </w:rPr>
        <w:t>Training and reproducibility.</w:t>
      </w:r>
      <w:r>
        <w:rPr>
          <w:rFonts w:ascii="Times New Roman" w:hAnsi="Times New Roman" w:cs="Times New Roman" w:eastAsia="Times New Roman"/>
          <w:sz w:val="20"/>
        </w:rPr>
        <w:t xml:space="preserve"> Training the shipped model takes 0.44 s on the CPU. The generator, the split and the model use one fixed seed, and every figure in this paper is produced by a script that writes a JSON file read back by the document builder, so a number in the text cannot drift from the measurement.</w:t>
      </w:r>
    </w:p>
    <w:p>
      <w:pPr>
        <w:keepNext w:val="0"/>
        <w:spacing w:after="0" w:before="0" w:line="240" w:lineRule="auto"/>
        <w:ind w:firstLine="288"/>
        <w:jc w:val="both"/>
      </w:pPr>
      <w:r>
        <w:rPr>
          <w:rFonts w:ascii="Times New Roman" w:hAnsi="Times New Roman" w:cs="Times New Roman" w:eastAsia="Times New Roman"/>
          <w:b/>
          <w:sz w:val="20"/>
        </w:rPr>
        <w:t>Security and error handling.</w:t>
      </w:r>
      <w:r>
        <w:rPr>
          <w:rFonts w:ascii="Times New Roman" w:hAnsi="Times New Roman" w:cs="Times New Roman" w:eastAsia="Times New Roman"/>
          <w:sz w:val="20"/>
        </w:rPr>
        <w:t xml:space="preserve"> Passwords are stored as bcrypt hashes and a sign-in returns a signed token valid for 12 hours. Vitals are range-checked on entry (for example age 0 to 120, heart rate 20 to 250, SpO2 50 to 100, temperature 30 to 44 C), uploads above 15 MB are refused, an empty or unreadable file returns a plain message, and a missing model returns a service-unavailable status instead of a guess.</w:t>
      </w:r>
    </w:p>
    <w:p>
      <w:pPr>
        <w:keepNext w:val="0"/>
        <w:spacing w:after="0" w:before="0" w:line="240" w:lineRule="auto"/>
        <w:ind w:firstLine="288"/>
        <w:jc w:val="both"/>
      </w:pPr>
      <w:r>
        <w:rPr>
          <w:rFonts w:ascii="Times New Roman" w:hAnsi="Times New Roman" w:cs="Times New Roman" w:eastAsia="Times New Roman"/>
          <w:b/>
          <w:sz w:val="20"/>
        </w:rPr>
        <w:t>Data.</w:t>
      </w:r>
      <w:r>
        <w:rPr>
          <w:rFonts w:ascii="Times New Roman" w:hAnsi="Times New Roman" w:cs="Times New Roman" w:eastAsia="Times New Roman"/>
          <w:sz w:val="20"/>
        </w:rPr>
        <w:t xml:space="preserve"> No patient records were available, so a seeded generator (seed 7307) simulates 6,000 cases from seven archetypes (minor, cardiac, respiratory, trauma, abdominal, infection, neurological). Vitals are drawn from clipped normal distributions shifted per archetype, report flags from per-archetype probabilities, and a hand-written severity score of vital-sign thresholds and flag weights plus Gaussian noise (standard deviation 0.4) is cut into five priorities. The score therefore plays the role of the recorded clinician decision, and priority 1 is rare (5.5% of cases). The split is 3,840 fit, 960 calibration and 1,200 test cases, stratified by priority. Because the label is a known function of the inputs plus noise, an observer who knew the noise-free score would match the label for only 86.25% of cases, which is the ceiling for exact accuracy.</w:t>
      </w:r>
    </w:p>
    <w:p>
      <w:pPr>
        <w:keepNext w:val="0"/>
        <w:spacing w:after="0" w:before="0" w:line="240" w:lineRule="auto"/>
        <w:ind w:firstLine="288"/>
        <w:jc w:val="both"/>
      </w:pPr>
      <w:r>
        <w:rPr>
          <w:rFonts w:ascii="Times New Roman" w:hAnsi="Times New Roman" w:cs="Times New Roman" w:eastAsia="Times New Roman"/>
          <w:b/>
          <w:sz w:val="20"/>
        </w:rPr>
        <w:t>Experiments and metrics.</w:t>
      </w:r>
      <w:r>
        <w:rPr>
          <w:rFonts w:ascii="Times New Roman" w:hAnsi="Times New Roman" w:cs="Times New Roman" w:eastAsia="Times New Roman"/>
          <w:sz w:val="20"/>
        </w:rPr>
        <w:t xml:space="preserve"> Seven further models (logistic regression, decision tree, random forest, extra trees, k-nearest neighbours, a small MLP and histogram gradient boosting) were trained on the same rows, in the style of the base paper's multi-algorithm comparison, together with a vitals-only and a report-only ablation. Metrics are exact accuracy, accuracy within one level, macro F1, quadratic weighted kappa, Top-2 accuracy, expected calibration error (ECE, ten bins) and recall per priority. Robustness is tested by removing each positive report flag with a given probability at inference. The report reader is scored on 12 generated sample reports and on 40 hand-written fragments, and the service is timed over HTTP on 127.0.0.1. Reporting follows the intent of TRIPOD+AI [19]: data origin, split, metrics and limits are stated. Code is verified with 47 pytest tests and 17 end-to-end smoke checks.</w:t>
      </w:r>
    </w:p>
    <w:p>
      <w:pPr>
        <w:keepNext/>
        <w:spacing w:before="160" w:after="80"/>
        <w:jc w:val="center"/>
      </w:pPr>
      <w:r>
        <w:rPr>
          <w:rFonts w:ascii="Times New Roman" w:hAnsi="Times New Roman" w:cs="Times New Roman" w:eastAsia="Times New Roman"/>
          <w:b/>
          <w:sz w:val="20"/>
        </w:rPr>
        <w:t>IV. RESULTS</w:t>
      </w:r>
    </w:p>
    <w:p>
      <w:pPr>
        <w:keepNext w:val="0"/>
        <w:spacing w:after="0" w:before="0" w:line="240" w:lineRule="auto"/>
        <w:ind w:firstLine="288"/>
        <w:jc w:val="both"/>
      </w:pPr>
      <w:r>
        <w:rPr>
          <w:rFonts w:ascii="Times New Roman" w:hAnsi="Times New Roman" w:cs="Times New Roman" w:eastAsia="Times New Roman"/>
          <w:b/>
          <w:sz w:val="20"/>
        </w:rPr>
        <w:t>Test conditions.</w:t>
      </w:r>
      <w:r>
        <w:rPr>
          <w:rFonts w:ascii="Times New Roman" w:hAnsi="Times New Roman" w:cs="Times New Roman" w:eastAsia="Times New Roman"/>
          <w:sz w:val="20"/>
        </w:rPr>
        <w:t xml:space="preserve"> All model figures are on the 1,200 held-out synthetic cases, on the machine of Section I-A. They measure how well a model recovers a known rule, not agreement with clinicians, and they would change on real triage records.</w:t>
      </w:r>
    </w:p>
    <w:p>
      <w:pPr>
        <w:keepNext/>
        <w:spacing w:before="80"/>
        <w:jc w:val="center"/>
      </w:pPr>
      <w:r>
        <w:rPr>
          <w:rFonts w:ascii="Times New Roman" w:hAnsi="Times New Roman" w:cs="Times New Roman" w:eastAsia="Times New Roman"/>
          <w:sz w:val="16"/>
        </w:rPr>
        <w:t>TABLE II</w:t>
      </w:r>
    </w:p>
    <w:p>
      <w:pPr>
        <w:keepNext/>
        <w:spacing w:after="40"/>
        <w:jc w:val="center"/>
      </w:pPr>
      <w:r>
        <w:rPr>
          <w:rFonts w:ascii="Times New Roman" w:hAnsi="Times New Roman" w:cs="Times New Roman" w:eastAsia="Times New Roman"/>
          <w:sz w:val="16"/>
        </w:rPr>
        <w:t>ACCURACY AND AGREEMENT ON THE SYNTHETIC HOLD-OUT (PERCENT; FUSED INPUTS UNLESS STATED)</w:t>
      </w:r>
    </w:p>
    <w:tbl>
      <w:tblPr>
        <w:tblStyle w:val="TableGrid"/>
        <w:tblW w:type="auto" w:w="0"/>
        <w:jc w:val="center"/>
        <w:tblLook w:firstColumn="1" w:firstRow="1" w:lastColumn="0" w:lastRow="0" w:noHBand="0" w:noVBand="1" w:val="04A0"/>
      </w:tblPr>
      <w:tblGrid>
        <w:gridCol w:w="2050"/>
        <w:gridCol w:w="2050"/>
        <w:gridCol w:w="2050"/>
        <w:gridCol w:w="2050"/>
        <w:gridCol w:w="2050"/>
      </w:tblGrid>
      <w:tr>
        <w:trPr>
          <w:cantSplit w:val="true"/>
        </w:trPr>
        <w:tc>
          <w:tcPr>
            <w:tcW w:type="dxa" w:w="2088"/>
          </w:tcPr>
          <w:p>
            <w:pPr>
              <w:keepNext/>
              <w:jc w:val="center"/>
            </w:pPr>
            <w:r/>
            <w:r>
              <w:rPr>
                <w:rFonts w:ascii="Times New Roman" w:hAnsi="Times New Roman" w:cs="Times New Roman" w:eastAsia="Times New Roman"/>
                <w:b/>
                <w:sz w:val="13"/>
              </w:rPr>
              <w:t>Model or input set</w:t>
            </w:r>
          </w:p>
        </w:tc>
        <w:tc>
          <w:tcPr>
            <w:tcW w:type="dxa" w:w="576"/>
          </w:tcPr>
          <w:p>
            <w:pPr>
              <w:keepNext/>
              <w:jc w:val="center"/>
            </w:pPr>
            <w:r/>
            <w:r>
              <w:rPr>
                <w:rFonts w:ascii="Times New Roman" w:hAnsi="Times New Roman" w:cs="Times New Roman" w:eastAsia="Times New Roman"/>
                <w:b/>
                <w:sz w:val="13"/>
              </w:rPr>
              <w:t>Acc.</w:t>
            </w:r>
          </w:p>
        </w:tc>
        <w:tc>
          <w:tcPr>
            <w:tcW w:type="dxa" w:w="792"/>
          </w:tcPr>
          <w:p>
            <w:pPr>
              <w:keepNext/>
              <w:jc w:val="center"/>
            </w:pPr>
            <w:r/>
            <w:r>
              <w:rPr>
                <w:rFonts w:ascii="Times New Roman" w:hAnsi="Times New Roman" w:cs="Times New Roman" w:eastAsia="Times New Roman"/>
                <w:b/>
                <w:sz w:val="13"/>
              </w:rPr>
              <w:t>Macro F1</w:t>
            </w:r>
          </w:p>
        </w:tc>
        <w:tc>
          <w:tcPr>
            <w:tcW w:type="dxa" w:w="648"/>
          </w:tcPr>
          <w:p>
            <w:pPr>
              <w:keepNext/>
              <w:jc w:val="center"/>
            </w:pPr>
            <w:r/>
            <w:r>
              <w:rPr>
                <w:rFonts w:ascii="Times New Roman" w:hAnsi="Times New Roman" w:cs="Times New Roman" w:eastAsia="Times New Roman"/>
                <w:b/>
                <w:sz w:val="13"/>
              </w:rPr>
              <w:t>QWK</w:t>
            </w:r>
          </w:p>
        </w:tc>
        <w:tc>
          <w:tcPr>
            <w:tcW w:type="dxa" w:w="720"/>
          </w:tcPr>
          <w:p>
            <w:pPr>
              <w:keepNext/>
              <w:jc w:val="center"/>
            </w:pPr>
            <w:r/>
            <w:r>
              <w:rPr>
                <w:rFonts w:ascii="Times New Roman" w:hAnsi="Times New Roman" w:cs="Times New Roman" w:eastAsia="Times New Roman"/>
                <w:b/>
                <w:sz w:val="13"/>
              </w:rPr>
              <w:t>Top-2</w:t>
            </w:r>
          </w:p>
        </w:tc>
      </w:tr>
      <w:tr>
        <w:trPr>
          <w:cantSplit w:val="true"/>
        </w:trPr>
        <w:tc>
          <w:tcPr>
            <w:tcW w:type="dxa" w:w="2088"/>
          </w:tcPr>
          <w:p>
            <w:pPr>
              <w:keepNext/>
              <w:jc w:val="left"/>
            </w:pPr>
            <w:r/>
            <w:r>
              <w:rPr>
                <w:rFonts w:ascii="Times New Roman" w:hAnsi="Times New Roman" w:cs="Times New Roman" w:eastAsia="Times New Roman"/>
                <w:sz w:val="13"/>
              </w:rPr>
              <w:t>Shipped XGBoost + isotonic</w:t>
            </w:r>
          </w:p>
        </w:tc>
        <w:tc>
          <w:tcPr>
            <w:tcW w:type="dxa" w:w="576"/>
          </w:tcPr>
          <w:p>
            <w:pPr>
              <w:keepNext/>
              <w:jc w:val="center"/>
            </w:pPr>
            <w:r/>
            <w:r>
              <w:rPr>
                <w:rFonts w:ascii="Times New Roman" w:hAnsi="Times New Roman" w:cs="Times New Roman" w:eastAsia="Times New Roman"/>
                <w:sz w:val="13"/>
              </w:rPr>
              <w:t>69.4</w:t>
            </w:r>
          </w:p>
        </w:tc>
        <w:tc>
          <w:tcPr>
            <w:tcW w:type="dxa" w:w="792"/>
          </w:tcPr>
          <w:p>
            <w:pPr>
              <w:keepNext/>
              <w:jc w:val="center"/>
            </w:pPr>
            <w:r/>
            <w:r>
              <w:rPr>
                <w:rFonts w:ascii="Times New Roman" w:hAnsi="Times New Roman" w:cs="Times New Roman" w:eastAsia="Times New Roman"/>
                <w:sz w:val="13"/>
              </w:rPr>
              <w:t>0.670</w:t>
            </w:r>
          </w:p>
        </w:tc>
        <w:tc>
          <w:tcPr>
            <w:tcW w:type="dxa" w:w="648"/>
          </w:tcPr>
          <w:p>
            <w:pPr>
              <w:keepNext/>
              <w:jc w:val="center"/>
            </w:pPr>
            <w:r/>
            <w:r>
              <w:rPr>
                <w:rFonts w:ascii="Times New Roman" w:hAnsi="Times New Roman" w:cs="Times New Roman" w:eastAsia="Times New Roman"/>
                <w:sz w:val="13"/>
              </w:rPr>
              <w:t>0.880</w:t>
            </w:r>
          </w:p>
        </w:tc>
        <w:tc>
          <w:tcPr>
            <w:tcW w:type="dxa" w:w="720"/>
          </w:tcPr>
          <w:p>
            <w:pPr>
              <w:keepNext/>
              <w:jc w:val="center"/>
            </w:pPr>
            <w:r/>
            <w:r>
              <w:rPr>
                <w:rFonts w:ascii="Times New Roman" w:hAnsi="Times New Roman" w:cs="Times New Roman" w:eastAsia="Times New Roman"/>
                <w:sz w:val="13"/>
              </w:rPr>
              <w:t>95.3</w:t>
            </w:r>
          </w:p>
        </w:tc>
      </w:tr>
      <w:tr>
        <w:trPr>
          <w:cantSplit w:val="true"/>
        </w:trPr>
        <w:tc>
          <w:tcPr>
            <w:tcW w:type="dxa" w:w="2088"/>
          </w:tcPr>
          <w:p>
            <w:pPr>
              <w:keepNext/>
              <w:jc w:val="left"/>
            </w:pPr>
            <w:r/>
            <w:r>
              <w:rPr>
                <w:rFonts w:ascii="Times New Roman" w:hAnsi="Times New Roman" w:cs="Times New Roman" w:eastAsia="Times New Roman"/>
                <w:sz w:val="13"/>
              </w:rPr>
              <w:t>XGBoost, uncalibrated</w:t>
            </w:r>
          </w:p>
        </w:tc>
        <w:tc>
          <w:tcPr>
            <w:tcW w:type="dxa" w:w="576"/>
          </w:tcPr>
          <w:p>
            <w:pPr>
              <w:keepNext/>
              <w:jc w:val="center"/>
            </w:pPr>
            <w:r/>
            <w:r>
              <w:rPr>
                <w:rFonts w:ascii="Times New Roman" w:hAnsi="Times New Roman" w:cs="Times New Roman" w:eastAsia="Times New Roman"/>
                <w:sz w:val="13"/>
              </w:rPr>
              <w:t>68.2</w:t>
            </w:r>
          </w:p>
        </w:tc>
        <w:tc>
          <w:tcPr>
            <w:tcW w:type="dxa" w:w="792"/>
          </w:tcPr>
          <w:p>
            <w:pPr>
              <w:keepNext/>
              <w:jc w:val="center"/>
            </w:pPr>
            <w:r/>
            <w:r>
              <w:rPr>
                <w:rFonts w:ascii="Times New Roman" w:hAnsi="Times New Roman" w:cs="Times New Roman" w:eastAsia="Times New Roman"/>
                <w:sz w:val="13"/>
              </w:rPr>
              <w:t>0.653</w:t>
            </w:r>
          </w:p>
        </w:tc>
        <w:tc>
          <w:tcPr>
            <w:tcW w:type="dxa" w:w="648"/>
          </w:tcPr>
          <w:p>
            <w:pPr>
              <w:keepNext/>
              <w:jc w:val="center"/>
            </w:pPr>
            <w:r/>
            <w:r>
              <w:rPr>
                <w:rFonts w:ascii="Times New Roman" w:hAnsi="Times New Roman" w:cs="Times New Roman" w:eastAsia="Times New Roman"/>
                <w:sz w:val="13"/>
              </w:rPr>
              <w:t>0.877</w:t>
            </w:r>
          </w:p>
        </w:tc>
        <w:tc>
          <w:tcPr>
            <w:tcW w:type="dxa" w:w="720"/>
          </w:tcPr>
          <w:p>
            <w:pPr>
              <w:keepNext/>
              <w:jc w:val="center"/>
            </w:pPr>
            <w:r/>
            <w:r>
              <w:rPr>
                <w:rFonts w:ascii="Times New Roman" w:hAnsi="Times New Roman" w:cs="Times New Roman" w:eastAsia="Times New Roman"/>
                <w:sz w:val="13"/>
              </w:rPr>
              <w:t>95.5</w:t>
            </w:r>
          </w:p>
        </w:tc>
      </w:tr>
      <w:tr>
        <w:trPr>
          <w:cantSplit w:val="true"/>
        </w:trPr>
        <w:tc>
          <w:tcPr>
            <w:tcW w:type="dxa" w:w="2088"/>
          </w:tcPr>
          <w:p>
            <w:pPr>
              <w:keepNext/>
              <w:jc w:val="left"/>
            </w:pPr>
            <w:r/>
            <w:r>
              <w:rPr>
                <w:rFonts w:ascii="Times New Roman" w:hAnsi="Times New Roman" w:cs="Times New Roman" w:eastAsia="Times New Roman"/>
                <w:sz w:val="13"/>
              </w:rPr>
              <w:t>Logistic regression</w:t>
            </w:r>
          </w:p>
        </w:tc>
        <w:tc>
          <w:tcPr>
            <w:tcW w:type="dxa" w:w="576"/>
          </w:tcPr>
          <w:p>
            <w:pPr>
              <w:keepNext/>
              <w:jc w:val="center"/>
            </w:pPr>
            <w:r/>
            <w:r>
              <w:rPr>
                <w:rFonts w:ascii="Times New Roman" w:hAnsi="Times New Roman" w:cs="Times New Roman" w:eastAsia="Times New Roman"/>
                <w:sz w:val="13"/>
              </w:rPr>
              <w:t>72.4</w:t>
            </w:r>
          </w:p>
        </w:tc>
        <w:tc>
          <w:tcPr>
            <w:tcW w:type="dxa" w:w="792"/>
          </w:tcPr>
          <w:p>
            <w:pPr>
              <w:keepNext/>
              <w:jc w:val="center"/>
            </w:pPr>
            <w:r/>
            <w:r>
              <w:rPr>
                <w:rFonts w:ascii="Times New Roman" w:hAnsi="Times New Roman" w:cs="Times New Roman" w:eastAsia="Times New Roman"/>
                <w:sz w:val="13"/>
              </w:rPr>
              <w:t>0.727</w:t>
            </w:r>
          </w:p>
        </w:tc>
        <w:tc>
          <w:tcPr>
            <w:tcW w:type="dxa" w:w="648"/>
          </w:tcPr>
          <w:p>
            <w:pPr>
              <w:keepNext/>
              <w:jc w:val="center"/>
            </w:pPr>
            <w:r/>
            <w:r>
              <w:rPr>
                <w:rFonts w:ascii="Times New Roman" w:hAnsi="Times New Roman" w:cs="Times New Roman" w:eastAsia="Times New Roman"/>
                <w:sz w:val="13"/>
              </w:rPr>
              <w:t>0.897</w:t>
            </w:r>
          </w:p>
        </w:tc>
        <w:tc>
          <w:tcPr>
            <w:tcW w:type="dxa" w:w="720"/>
          </w:tcPr>
          <w:p>
            <w:pPr>
              <w:keepNext/>
              <w:jc w:val="center"/>
            </w:pPr>
            <w:r/>
            <w:r>
              <w:rPr>
                <w:rFonts w:ascii="Times New Roman" w:hAnsi="Times New Roman" w:cs="Times New Roman" w:eastAsia="Times New Roman"/>
                <w:sz w:val="13"/>
              </w:rPr>
              <w:t>96.4</w:t>
            </w:r>
          </w:p>
        </w:tc>
      </w:tr>
      <w:tr>
        <w:trPr>
          <w:cantSplit w:val="true"/>
        </w:trPr>
        <w:tc>
          <w:tcPr>
            <w:tcW w:type="dxa" w:w="2088"/>
          </w:tcPr>
          <w:p>
            <w:pPr>
              <w:keepNext/>
              <w:jc w:val="left"/>
            </w:pPr>
            <w:r/>
            <w:r>
              <w:rPr>
                <w:rFonts w:ascii="Times New Roman" w:hAnsi="Times New Roman" w:cs="Times New Roman" w:eastAsia="Times New Roman"/>
                <w:sz w:val="13"/>
              </w:rPr>
              <w:t>MLP (64, 32)</w:t>
            </w:r>
          </w:p>
        </w:tc>
        <w:tc>
          <w:tcPr>
            <w:tcW w:type="dxa" w:w="576"/>
          </w:tcPr>
          <w:p>
            <w:pPr>
              <w:keepNext/>
              <w:jc w:val="center"/>
            </w:pPr>
            <w:r/>
            <w:r>
              <w:rPr>
                <w:rFonts w:ascii="Times New Roman" w:hAnsi="Times New Roman" w:cs="Times New Roman" w:eastAsia="Times New Roman"/>
                <w:sz w:val="13"/>
              </w:rPr>
              <w:t>70.9</w:t>
            </w:r>
          </w:p>
        </w:tc>
        <w:tc>
          <w:tcPr>
            <w:tcW w:type="dxa" w:w="792"/>
          </w:tcPr>
          <w:p>
            <w:pPr>
              <w:keepNext/>
              <w:jc w:val="center"/>
            </w:pPr>
            <w:r/>
            <w:r>
              <w:rPr>
                <w:rFonts w:ascii="Times New Roman" w:hAnsi="Times New Roman" w:cs="Times New Roman" w:eastAsia="Times New Roman"/>
                <w:sz w:val="13"/>
              </w:rPr>
              <w:t>0.701</w:t>
            </w:r>
          </w:p>
        </w:tc>
        <w:tc>
          <w:tcPr>
            <w:tcW w:type="dxa" w:w="648"/>
          </w:tcPr>
          <w:p>
            <w:pPr>
              <w:keepNext/>
              <w:jc w:val="center"/>
            </w:pPr>
            <w:r/>
            <w:r>
              <w:rPr>
                <w:rFonts w:ascii="Times New Roman" w:hAnsi="Times New Roman" w:cs="Times New Roman" w:eastAsia="Times New Roman"/>
                <w:sz w:val="13"/>
              </w:rPr>
              <w:t>0.888</w:t>
            </w:r>
          </w:p>
        </w:tc>
        <w:tc>
          <w:tcPr>
            <w:tcW w:type="dxa" w:w="720"/>
          </w:tcPr>
          <w:p>
            <w:pPr>
              <w:keepNext/>
              <w:jc w:val="center"/>
            </w:pPr>
            <w:r/>
            <w:r>
              <w:rPr>
                <w:rFonts w:ascii="Times New Roman" w:hAnsi="Times New Roman" w:cs="Times New Roman" w:eastAsia="Times New Roman"/>
                <w:sz w:val="13"/>
              </w:rPr>
              <w:t>97.2</w:t>
            </w:r>
          </w:p>
        </w:tc>
      </w:tr>
      <w:tr>
        <w:trPr>
          <w:cantSplit w:val="true"/>
        </w:trPr>
        <w:tc>
          <w:tcPr>
            <w:tcW w:type="dxa" w:w="2088"/>
          </w:tcPr>
          <w:p>
            <w:pPr>
              <w:keepNext/>
              <w:jc w:val="left"/>
            </w:pPr>
            <w:r/>
            <w:r>
              <w:rPr>
                <w:rFonts w:ascii="Times New Roman" w:hAnsi="Times New Roman" w:cs="Times New Roman" w:eastAsia="Times New Roman"/>
                <w:sz w:val="13"/>
              </w:rPr>
              <w:t>Hist. gradient boosting</w:t>
            </w:r>
          </w:p>
        </w:tc>
        <w:tc>
          <w:tcPr>
            <w:tcW w:type="dxa" w:w="576"/>
          </w:tcPr>
          <w:p>
            <w:pPr>
              <w:keepNext/>
              <w:jc w:val="center"/>
            </w:pPr>
            <w:r/>
            <w:r>
              <w:rPr>
                <w:rFonts w:ascii="Times New Roman" w:hAnsi="Times New Roman" w:cs="Times New Roman" w:eastAsia="Times New Roman"/>
                <w:sz w:val="13"/>
              </w:rPr>
              <w:t>70.3</w:t>
            </w:r>
          </w:p>
        </w:tc>
        <w:tc>
          <w:tcPr>
            <w:tcW w:type="dxa" w:w="792"/>
          </w:tcPr>
          <w:p>
            <w:pPr>
              <w:keepNext/>
              <w:jc w:val="center"/>
            </w:pPr>
            <w:r/>
            <w:r>
              <w:rPr>
                <w:rFonts w:ascii="Times New Roman" w:hAnsi="Times New Roman" w:cs="Times New Roman" w:eastAsia="Times New Roman"/>
                <w:sz w:val="13"/>
              </w:rPr>
              <w:t>0.669</w:t>
            </w:r>
          </w:p>
        </w:tc>
        <w:tc>
          <w:tcPr>
            <w:tcW w:type="dxa" w:w="648"/>
          </w:tcPr>
          <w:p>
            <w:pPr>
              <w:keepNext/>
              <w:jc w:val="center"/>
            </w:pPr>
            <w:r/>
            <w:r>
              <w:rPr>
                <w:rFonts w:ascii="Times New Roman" w:hAnsi="Times New Roman" w:cs="Times New Roman" w:eastAsia="Times New Roman"/>
                <w:sz w:val="13"/>
              </w:rPr>
              <w:t>0.884</w:t>
            </w:r>
          </w:p>
        </w:tc>
        <w:tc>
          <w:tcPr>
            <w:tcW w:type="dxa" w:w="720"/>
          </w:tcPr>
          <w:p>
            <w:pPr>
              <w:keepNext/>
              <w:jc w:val="center"/>
            </w:pPr>
            <w:r/>
            <w:r>
              <w:rPr>
                <w:rFonts w:ascii="Times New Roman" w:hAnsi="Times New Roman" w:cs="Times New Roman" w:eastAsia="Times New Roman"/>
                <w:sz w:val="13"/>
              </w:rPr>
              <w:t>95.6</w:t>
            </w:r>
          </w:p>
        </w:tc>
      </w:tr>
      <w:tr>
        <w:trPr>
          <w:cantSplit w:val="true"/>
        </w:trPr>
        <w:tc>
          <w:tcPr>
            <w:tcW w:type="dxa" w:w="2088"/>
          </w:tcPr>
          <w:p>
            <w:pPr>
              <w:keepNext/>
              <w:jc w:val="left"/>
            </w:pPr>
            <w:r/>
            <w:r>
              <w:rPr>
                <w:rFonts w:ascii="Times New Roman" w:hAnsi="Times New Roman" w:cs="Times New Roman" w:eastAsia="Times New Roman"/>
                <w:sz w:val="13"/>
              </w:rPr>
              <w:t>Extra trees</w:t>
            </w:r>
          </w:p>
        </w:tc>
        <w:tc>
          <w:tcPr>
            <w:tcW w:type="dxa" w:w="576"/>
          </w:tcPr>
          <w:p>
            <w:pPr>
              <w:keepNext/>
              <w:jc w:val="center"/>
            </w:pPr>
            <w:r/>
            <w:r>
              <w:rPr>
                <w:rFonts w:ascii="Times New Roman" w:hAnsi="Times New Roman" w:cs="Times New Roman" w:eastAsia="Times New Roman"/>
                <w:sz w:val="13"/>
              </w:rPr>
              <w:t>69.1</w:t>
            </w:r>
          </w:p>
        </w:tc>
        <w:tc>
          <w:tcPr>
            <w:tcW w:type="dxa" w:w="792"/>
          </w:tcPr>
          <w:p>
            <w:pPr>
              <w:keepNext/>
              <w:jc w:val="center"/>
            </w:pPr>
            <w:r/>
            <w:r>
              <w:rPr>
                <w:rFonts w:ascii="Times New Roman" w:hAnsi="Times New Roman" w:cs="Times New Roman" w:eastAsia="Times New Roman"/>
                <w:sz w:val="13"/>
              </w:rPr>
              <w:t>0.653</w:t>
            </w:r>
          </w:p>
        </w:tc>
        <w:tc>
          <w:tcPr>
            <w:tcW w:type="dxa" w:w="648"/>
          </w:tcPr>
          <w:p>
            <w:pPr>
              <w:keepNext/>
              <w:jc w:val="center"/>
            </w:pPr>
            <w:r/>
            <w:r>
              <w:rPr>
                <w:rFonts w:ascii="Times New Roman" w:hAnsi="Times New Roman" w:cs="Times New Roman" w:eastAsia="Times New Roman"/>
                <w:sz w:val="13"/>
              </w:rPr>
              <w:t>0.872</w:t>
            </w:r>
          </w:p>
        </w:tc>
        <w:tc>
          <w:tcPr>
            <w:tcW w:type="dxa" w:w="720"/>
          </w:tcPr>
          <w:p>
            <w:pPr>
              <w:keepNext/>
              <w:jc w:val="center"/>
            </w:pPr>
            <w:r/>
            <w:r>
              <w:rPr>
                <w:rFonts w:ascii="Times New Roman" w:hAnsi="Times New Roman" w:cs="Times New Roman" w:eastAsia="Times New Roman"/>
                <w:sz w:val="13"/>
              </w:rPr>
              <w:t>94.3</w:t>
            </w:r>
          </w:p>
        </w:tc>
      </w:tr>
      <w:tr>
        <w:trPr>
          <w:cantSplit w:val="true"/>
        </w:trPr>
        <w:tc>
          <w:tcPr>
            <w:tcW w:type="dxa" w:w="2088"/>
          </w:tcPr>
          <w:p>
            <w:pPr>
              <w:keepNext/>
              <w:jc w:val="left"/>
            </w:pPr>
            <w:r/>
            <w:r>
              <w:rPr>
                <w:rFonts w:ascii="Times New Roman" w:hAnsi="Times New Roman" w:cs="Times New Roman" w:eastAsia="Times New Roman"/>
                <w:sz w:val="13"/>
              </w:rPr>
              <w:t>Random forest</w:t>
            </w:r>
          </w:p>
        </w:tc>
        <w:tc>
          <w:tcPr>
            <w:tcW w:type="dxa" w:w="576"/>
          </w:tcPr>
          <w:p>
            <w:pPr>
              <w:keepNext/>
              <w:jc w:val="center"/>
            </w:pPr>
            <w:r/>
            <w:r>
              <w:rPr>
                <w:rFonts w:ascii="Times New Roman" w:hAnsi="Times New Roman" w:cs="Times New Roman" w:eastAsia="Times New Roman"/>
                <w:sz w:val="13"/>
              </w:rPr>
              <w:t>67.2</w:t>
            </w:r>
          </w:p>
        </w:tc>
        <w:tc>
          <w:tcPr>
            <w:tcW w:type="dxa" w:w="792"/>
          </w:tcPr>
          <w:p>
            <w:pPr>
              <w:keepNext/>
              <w:jc w:val="center"/>
            </w:pPr>
            <w:r/>
            <w:r>
              <w:rPr>
                <w:rFonts w:ascii="Times New Roman" w:hAnsi="Times New Roman" w:cs="Times New Roman" w:eastAsia="Times New Roman"/>
                <w:sz w:val="13"/>
              </w:rPr>
              <w:t>0.623</w:t>
            </w:r>
          </w:p>
        </w:tc>
        <w:tc>
          <w:tcPr>
            <w:tcW w:type="dxa" w:w="648"/>
          </w:tcPr>
          <w:p>
            <w:pPr>
              <w:keepNext/>
              <w:jc w:val="center"/>
            </w:pPr>
            <w:r/>
            <w:r>
              <w:rPr>
                <w:rFonts w:ascii="Times New Roman" w:hAnsi="Times New Roman" w:cs="Times New Roman" w:eastAsia="Times New Roman"/>
                <w:sz w:val="13"/>
              </w:rPr>
              <w:t>0.871</w:t>
            </w:r>
          </w:p>
        </w:tc>
        <w:tc>
          <w:tcPr>
            <w:tcW w:type="dxa" w:w="720"/>
          </w:tcPr>
          <w:p>
            <w:pPr>
              <w:keepNext/>
              <w:jc w:val="center"/>
            </w:pPr>
            <w:r/>
            <w:r>
              <w:rPr>
                <w:rFonts w:ascii="Times New Roman" w:hAnsi="Times New Roman" w:cs="Times New Roman" w:eastAsia="Times New Roman"/>
                <w:sz w:val="13"/>
              </w:rPr>
              <w:t>95.1</w:t>
            </w:r>
          </w:p>
        </w:tc>
      </w:tr>
      <w:tr>
        <w:trPr>
          <w:cantSplit w:val="true"/>
        </w:trPr>
        <w:tc>
          <w:tcPr>
            <w:tcW w:type="dxa" w:w="2088"/>
          </w:tcPr>
          <w:p>
            <w:pPr>
              <w:keepNext/>
              <w:jc w:val="left"/>
            </w:pPr>
            <w:r/>
            <w:r>
              <w:rPr>
                <w:rFonts w:ascii="Times New Roman" w:hAnsi="Times New Roman" w:cs="Times New Roman" w:eastAsia="Times New Roman"/>
                <w:sz w:val="13"/>
              </w:rPr>
              <w:t>k-nearest neighbours</w:t>
            </w:r>
          </w:p>
        </w:tc>
        <w:tc>
          <w:tcPr>
            <w:tcW w:type="dxa" w:w="576"/>
          </w:tcPr>
          <w:p>
            <w:pPr>
              <w:keepNext/>
              <w:jc w:val="center"/>
            </w:pPr>
            <w:r/>
            <w:r>
              <w:rPr>
                <w:rFonts w:ascii="Times New Roman" w:hAnsi="Times New Roman" w:cs="Times New Roman" w:eastAsia="Times New Roman"/>
                <w:sz w:val="13"/>
              </w:rPr>
              <w:t>62.6</w:t>
            </w:r>
          </w:p>
        </w:tc>
        <w:tc>
          <w:tcPr>
            <w:tcW w:type="dxa" w:w="792"/>
          </w:tcPr>
          <w:p>
            <w:pPr>
              <w:keepNext/>
              <w:jc w:val="center"/>
            </w:pPr>
            <w:r/>
            <w:r>
              <w:rPr>
                <w:rFonts w:ascii="Times New Roman" w:hAnsi="Times New Roman" w:cs="Times New Roman" w:eastAsia="Times New Roman"/>
                <w:sz w:val="13"/>
              </w:rPr>
              <w:t>0.564</w:t>
            </w:r>
          </w:p>
        </w:tc>
        <w:tc>
          <w:tcPr>
            <w:tcW w:type="dxa" w:w="648"/>
          </w:tcPr>
          <w:p>
            <w:pPr>
              <w:keepNext/>
              <w:jc w:val="center"/>
            </w:pPr>
            <w:r/>
            <w:r>
              <w:rPr>
                <w:rFonts w:ascii="Times New Roman" w:hAnsi="Times New Roman" w:cs="Times New Roman" w:eastAsia="Times New Roman"/>
                <w:sz w:val="13"/>
              </w:rPr>
              <w:t>0.830</w:t>
            </w:r>
          </w:p>
        </w:tc>
        <w:tc>
          <w:tcPr>
            <w:tcW w:type="dxa" w:w="720"/>
          </w:tcPr>
          <w:p>
            <w:pPr>
              <w:keepNext/>
              <w:jc w:val="center"/>
            </w:pPr>
            <w:r/>
            <w:r>
              <w:rPr>
                <w:rFonts w:ascii="Times New Roman" w:hAnsi="Times New Roman" w:cs="Times New Roman" w:eastAsia="Times New Roman"/>
                <w:sz w:val="13"/>
              </w:rPr>
              <w:t>89.2</w:t>
            </w:r>
          </w:p>
        </w:tc>
      </w:tr>
      <w:tr>
        <w:trPr>
          <w:cantSplit w:val="true"/>
        </w:trPr>
        <w:tc>
          <w:tcPr>
            <w:tcW w:type="dxa" w:w="2088"/>
          </w:tcPr>
          <w:p>
            <w:pPr>
              <w:keepNext/>
              <w:jc w:val="left"/>
            </w:pPr>
            <w:r/>
            <w:r>
              <w:rPr>
                <w:rFonts w:ascii="Times New Roman" w:hAnsi="Times New Roman" w:cs="Times New Roman" w:eastAsia="Times New Roman"/>
                <w:sz w:val="13"/>
              </w:rPr>
              <w:t>Decision tree</w:t>
            </w:r>
          </w:p>
        </w:tc>
        <w:tc>
          <w:tcPr>
            <w:tcW w:type="dxa" w:w="576"/>
          </w:tcPr>
          <w:p>
            <w:pPr>
              <w:keepNext/>
              <w:jc w:val="center"/>
            </w:pPr>
            <w:r/>
            <w:r>
              <w:rPr>
                <w:rFonts w:ascii="Times New Roman" w:hAnsi="Times New Roman" w:cs="Times New Roman" w:eastAsia="Times New Roman"/>
                <w:sz w:val="13"/>
              </w:rPr>
              <w:t>54.7</w:t>
            </w:r>
          </w:p>
        </w:tc>
        <w:tc>
          <w:tcPr>
            <w:tcW w:type="dxa" w:w="792"/>
          </w:tcPr>
          <w:p>
            <w:pPr>
              <w:keepNext/>
              <w:jc w:val="center"/>
            </w:pPr>
            <w:r/>
            <w:r>
              <w:rPr>
                <w:rFonts w:ascii="Times New Roman" w:hAnsi="Times New Roman" w:cs="Times New Roman" w:eastAsia="Times New Roman"/>
                <w:sz w:val="13"/>
              </w:rPr>
              <w:t>0.530</w:t>
            </w:r>
          </w:p>
        </w:tc>
        <w:tc>
          <w:tcPr>
            <w:tcW w:type="dxa" w:w="648"/>
          </w:tcPr>
          <w:p>
            <w:pPr>
              <w:keepNext/>
              <w:jc w:val="center"/>
            </w:pPr>
            <w:r/>
            <w:r>
              <w:rPr>
                <w:rFonts w:ascii="Times New Roman" w:hAnsi="Times New Roman" w:cs="Times New Roman" w:eastAsia="Times New Roman"/>
                <w:sz w:val="13"/>
              </w:rPr>
              <w:t>0.761</w:t>
            </w:r>
          </w:p>
        </w:tc>
        <w:tc>
          <w:tcPr>
            <w:tcW w:type="dxa" w:w="720"/>
          </w:tcPr>
          <w:p>
            <w:pPr>
              <w:keepNext/>
              <w:jc w:val="center"/>
            </w:pPr>
            <w:r/>
            <w:r>
              <w:rPr>
                <w:rFonts w:ascii="Times New Roman" w:hAnsi="Times New Roman" w:cs="Times New Roman" w:eastAsia="Times New Roman"/>
                <w:sz w:val="13"/>
              </w:rPr>
              <w:t>80.5</w:t>
            </w:r>
          </w:p>
        </w:tc>
      </w:tr>
      <w:tr>
        <w:trPr>
          <w:cantSplit w:val="true"/>
        </w:trPr>
        <w:tc>
          <w:tcPr>
            <w:tcW w:type="dxa" w:w="2088"/>
          </w:tcPr>
          <w:p>
            <w:pPr>
              <w:keepNext/>
              <w:jc w:val="left"/>
            </w:pPr>
            <w:r/>
            <w:r>
              <w:rPr>
                <w:rFonts w:ascii="Times New Roman" w:hAnsi="Times New Roman" w:cs="Times New Roman" w:eastAsia="Times New Roman"/>
                <w:sz w:val="13"/>
              </w:rPr>
              <w:t>Vitals only (8 inputs)</w:t>
            </w:r>
          </w:p>
        </w:tc>
        <w:tc>
          <w:tcPr>
            <w:tcW w:type="dxa" w:w="576"/>
          </w:tcPr>
          <w:p>
            <w:pPr>
              <w:keepNext/>
              <w:jc w:val="center"/>
            </w:pPr>
            <w:r/>
            <w:r>
              <w:rPr>
                <w:rFonts w:ascii="Times New Roman" w:hAnsi="Times New Roman" w:cs="Times New Roman" w:eastAsia="Times New Roman"/>
                <w:sz w:val="13"/>
              </w:rPr>
              <w:t>40.6</w:t>
            </w:r>
          </w:p>
        </w:tc>
        <w:tc>
          <w:tcPr>
            <w:tcW w:type="dxa" w:w="792"/>
          </w:tcPr>
          <w:p>
            <w:pPr>
              <w:keepNext/>
              <w:jc w:val="center"/>
            </w:pPr>
            <w:r/>
            <w:r>
              <w:rPr>
                <w:rFonts w:ascii="Times New Roman" w:hAnsi="Times New Roman" w:cs="Times New Roman" w:eastAsia="Times New Roman"/>
                <w:sz w:val="13"/>
              </w:rPr>
              <w:t>0.367</w:t>
            </w:r>
          </w:p>
        </w:tc>
        <w:tc>
          <w:tcPr>
            <w:tcW w:type="dxa" w:w="648"/>
          </w:tcPr>
          <w:p>
            <w:pPr>
              <w:keepNext/>
              <w:jc w:val="center"/>
            </w:pPr>
            <w:r/>
            <w:r>
              <w:rPr>
                <w:rFonts w:ascii="Times New Roman" w:hAnsi="Times New Roman" w:cs="Times New Roman" w:eastAsia="Times New Roman"/>
                <w:sz w:val="13"/>
              </w:rPr>
              <w:t>0.489</w:t>
            </w:r>
          </w:p>
        </w:tc>
        <w:tc>
          <w:tcPr>
            <w:tcW w:type="dxa" w:w="720"/>
          </w:tcPr>
          <w:p>
            <w:pPr>
              <w:keepNext/>
              <w:jc w:val="center"/>
            </w:pPr>
            <w:r/>
            <w:r>
              <w:rPr>
                <w:rFonts w:ascii="Times New Roman" w:hAnsi="Times New Roman" w:cs="Times New Roman" w:eastAsia="Times New Roman"/>
                <w:sz w:val="13"/>
              </w:rPr>
              <w:t>70.3</w:t>
            </w:r>
          </w:p>
        </w:tc>
      </w:tr>
      <w:tr>
        <w:trPr>
          <w:cantSplit w:val="true"/>
        </w:trPr>
        <w:tc>
          <w:tcPr>
            <w:tcW w:type="dxa" w:w="2088"/>
          </w:tcPr>
          <w:p>
            <w:pPr>
              <w:jc w:val="left"/>
            </w:pPr>
            <w:r/>
            <w:r>
              <w:rPr>
                <w:rFonts w:ascii="Times New Roman" w:hAnsi="Times New Roman" w:cs="Times New Roman" w:eastAsia="Times New Roman"/>
                <w:sz w:val="13"/>
              </w:rPr>
              <w:t>Report only (28 inputs)</w:t>
            </w:r>
          </w:p>
        </w:tc>
        <w:tc>
          <w:tcPr>
            <w:tcW w:type="dxa" w:w="576"/>
          </w:tcPr>
          <w:p>
            <w:pPr>
              <w:jc w:val="center"/>
            </w:pPr>
            <w:r/>
            <w:r>
              <w:rPr>
                <w:rFonts w:ascii="Times New Roman" w:hAnsi="Times New Roman" w:cs="Times New Roman" w:eastAsia="Times New Roman"/>
                <w:sz w:val="13"/>
              </w:rPr>
              <w:t>63.2</w:t>
            </w:r>
          </w:p>
        </w:tc>
        <w:tc>
          <w:tcPr>
            <w:tcW w:type="dxa" w:w="792"/>
          </w:tcPr>
          <w:p>
            <w:pPr>
              <w:jc w:val="center"/>
            </w:pPr>
            <w:r/>
            <w:r>
              <w:rPr>
                <w:rFonts w:ascii="Times New Roman" w:hAnsi="Times New Roman" w:cs="Times New Roman" w:eastAsia="Times New Roman"/>
                <w:sz w:val="13"/>
              </w:rPr>
              <w:t>0.615</w:t>
            </w:r>
          </w:p>
        </w:tc>
        <w:tc>
          <w:tcPr>
            <w:tcW w:type="dxa" w:w="648"/>
          </w:tcPr>
          <w:p>
            <w:pPr>
              <w:jc w:val="center"/>
            </w:pPr>
            <w:r/>
            <w:r>
              <w:rPr>
                <w:rFonts w:ascii="Times New Roman" w:hAnsi="Times New Roman" w:cs="Times New Roman" w:eastAsia="Times New Roman"/>
                <w:sz w:val="13"/>
              </w:rPr>
              <w:t>0.835</w:t>
            </w:r>
          </w:p>
        </w:tc>
        <w:tc>
          <w:tcPr>
            <w:tcW w:type="dxa" w:w="720"/>
          </w:tcPr>
          <w:p>
            <w:pPr>
              <w:jc w:val="center"/>
            </w:pPr>
            <w:r/>
            <w:r>
              <w:rPr>
                <w:rFonts w:ascii="Times New Roman" w:hAnsi="Times New Roman" w:cs="Times New Roman" w:eastAsia="Times New Roman"/>
                <w:sz w:val="13"/>
              </w:rPr>
              <w:t>92.2</w:t>
            </w:r>
          </w:p>
        </w:tc>
      </w:tr>
    </w:tbl>
    <w:p>
      <w:pPr>
        <w:spacing w:after="60"/>
      </w:pPr>
      <w:r>
        <w:rPr>
          <w:rFonts w:ascii="Times New Roman" w:hAnsi="Times New Roman" w:cs="Times New Roman" w:eastAsia="Times New Roman"/>
          <w:sz w:val="8"/>
        </w:rPr>
      </w:r>
    </w:p>
    <w:p>
      <w:pPr>
        <w:keepNext/>
        <w:spacing w:before="80"/>
        <w:jc w:val="center"/>
      </w:pPr>
      <w:r>
        <w:drawing>
          <wp:inline xmlns:a="http://schemas.openxmlformats.org/drawingml/2006/main" xmlns:pic="http://schemas.openxmlformats.org/drawingml/2006/picture">
            <wp:extent cx="3108960" cy="2753650"/>
            <wp:docPr id="3" name="Picture 3"/>
            <wp:cNvGraphicFramePr>
              <a:graphicFrameLocks noChangeAspect="1"/>
            </wp:cNvGraphicFramePr>
            <a:graphic>
              <a:graphicData uri="http://schemas.openxmlformats.org/drawingml/2006/picture">
                <pic:pic>
                  <pic:nvPicPr>
                    <pic:cNvPr id="0" name="paper_results.png"/>
                    <pic:cNvPicPr/>
                  </pic:nvPicPr>
                  <pic:blipFill>
                    <a:blip r:embed="rId11"/>
                    <a:stretch>
                      <a:fillRect/>
                    </a:stretch>
                  </pic:blipFill>
                  <pic:spPr>
                    <a:xfrm>
                      <a:off x="0" y="0"/>
                      <a:ext cx="3108960" cy="2753650"/>
                    </a:xfrm>
                    <a:prstGeom prst="rect"/>
                  </pic:spPr>
                </pic:pic>
              </a:graphicData>
            </a:graphic>
          </wp:inline>
        </w:drawing>
      </w:r>
    </w:p>
    <w:p>
      <w:pPr>
        <w:spacing w:after="100"/>
        <w:jc w:val="both"/>
      </w:pPr>
      <w:r>
        <w:rPr>
          <w:rFonts w:ascii="Times New Roman" w:hAnsi="Times New Roman" w:cs="Times New Roman" w:eastAsia="Times New Roman"/>
          <w:sz w:val="16"/>
        </w:rPr>
        <w:t>Fig. 3. (a) Accuracy of eight models. (b) Accuracy by inputs used. (c) Recall per priority of the shipped model. (d) Accuracy and coverage as the confidence threshold rises (dotted: 0.85).</w:t>
      </w:r>
    </w:p>
    <w:p>
      <w:pPr>
        <w:keepNext w:val="0"/>
        <w:spacing w:after="0" w:before="0" w:line="240" w:lineRule="auto"/>
        <w:ind w:firstLine="288"/>
        <w:jc w:val="both"/>
      </w:pPr>
      <w:r>
        <w:rPr>
          <w:rFonts w:ascii="Times New Roman" w:hAnsi="Times New Roman" w:cs="Times New Roman" w:eastAsia="Times New Roman"/>
          <w:b/>
          <w:sz w:val="20"/>
        </w:rPr>
        <w:t>Triage accuracy.</w:t>
      </w:r>
      <w:r>
        <w:rPr>
          <w:rFonts w:ascii="Times New Roman" w:hAnsi="Times New Roman" w:cs="Times New Roman" w:eastAsia="Times New Roman"/>
          <w:sz w:val="20"/>
        </w:rPr>
        <w:t xml:space="preserve"> The shipped model reaches 69.4 % exact accuracy and 99.7 % within one level, quadratic weighted kappa 0.880 and Top-2 accuracy 95.3 % (Table II). Recall falls toward the urgent end: 43.9, 54.0, 72.8, 71.9, 82.8 % for priorities 1 to 5 (Fig. 3c), because the rare, severe cases sit next to the boundary of the next level (35 of 66 priority-1 cases were placed at priority 2, 101 of 239 priority-2 cases at priority 3). Over five split seeds the same recipe gives 71.6 % (standard deviation 0.9 points), so the shipped split, at 69.4 %, is a below-average one. Logistic regression scores higher (72.4 %) than every tree model: the synthetic label is an additive score, which a linear model recovers well. XGBoost was kept for its exact tree explanations and calibration, an assumption about real data that this experiment does not test [20]. About 86.2% is the ceiling set by the label noise.</w:t>
      </w:r>
    </w:p>
    <w:p>
      <w:pPr>
        <w:keepNext w:val="0"/>
        <w:spacing w:after="0" w:before="0" w:line="240" w:lineRule="auto"/>
        <w:ind w:firstLine="288"/>
        <w:jc w:val="both"/>
      </w:pPr>
      <w:r>
        <w:rPr>
          <w:rFonts w:ascii="Times New Roman" w:hAnsi="Times New Roman" w:cs="Times New Roman" w:eastAsia="Times New Roman"/>
          <w:b/>
          <w:sz w:val="20"/>
        </w:rPr>
        <w:t>Where the errors fall.</w:t>
      </w:r>
      <w:r>
        <w:rPr>
          <w:rFonts w:ascii="Times New Roman" w:hAnsi="Times New Roman" w:cs="Times New Roman" w:eastAsia="Times New Roman"/>
          <w:sz w:val="20"/>
        </w:rPr>
        <w:t xml:space="preserve"> Almost every miss is to the neighbouring level: 62 priority-3 cases went to 4, 54 priority-4 cases to 5, 45 priority-5 cases to 4 and 9 priority-2 cases to 1. Only 4 of 1,200 cases are two levels away (2 priority-1 cases placed at 3 and 2 priority-3 cases at 5). The model leans toward the less urgent neighbour, the unsafe direction: a cut-off that sends more cases to the more urgent level would raise high-risk recall at the price of more over-triage. Because the neighbouring levels differ by a small amount of severity score, and the label carries added noise, the confusion between them is partly irreducible in this data.</w:t>
      </w:r>
    </w:p>
    <w:p>
      <w:pPr>
        <w:keepNext w:val="0"/>
        <w:spacing w:after="0" w:before="0" w:line="240" w:lineRule="auto"/>
        <w:ind w:firstLine="288"/>
        <w:jc w:val="both"/>
      </w:pPr>
      <w:r>
        <w:rPr>
          <w:rFonts w:ascii="Times New Roman" w:hAnsi="Times New Roman" w:cs="Times New Roman" w:eastAsia="Times New Roman"/>
          <w:b/>
          <w:sz w:val="20"/>
        </w:rPr>
        <w:t>Stability and calibration.</w:t>
      </w:r>
      <w:r>
        <w:rPr>
          <w:rFonts w:ascii="Times New Roman" w:hAnsi="Times New Roman" w:cs="Times New Roman" w:eastAsia="Times New Roman"/>
          <w:sz w:val="20"/>
        </w:rPr>
        <w:t xml:space="preserve"> Five-fold cross-validation over all 6,000 cases gives 72.4% for XGBoost (standard deviation 1.5%), 71.6% for logistic regression and 71.1% for a random forest, so the three are close and the ordering in Table II should not be over-read. Mean confidence is 0.732 against accuracy 0.694, a mild over-confidence; the multiclass Brier score improves from 0.419 to 0.410 with calibration.</w:t>
      </w:r>
    </w:p>
    <w:p>
      <w:pPr>
        <w:keepNext w:val="0"/>
        <w:spacing w:after="0" w:before="0" w:line="240" w:lineRule="auto"/>
        <w:ind w:firstLine="288"/>
        <w:jc w:val="both"/>
      </w:pPr>
      <w:r>
        <w:rPr>
          <w:rFonts w:ascii="Times New Roman" w:hAnsi="Times New Roman" w:cs="Times New Roman" w:eastAsia="Times New Roman"/>
          <w:b/>
          <w:sz w:val="20"/>
        </w:rPr>
        <w:t>Value of the report.</w:t>
      </w:r>
      <w:r>
        <w:rPr>
          <w:rFonts w:ascii="Times New Roman" w:hAnsi="Times New Roman" w:cs="Times New Roman" w:eastAsia="Times New Roman"/>
          <w:sz w:val="20"/>
        </w:rPr>
        <w:t xml:space="preserve"> Vitals alone give 40.6 % accuracy, the report alone 63.2 % and both together 68.2 %, with within-one accuracy rising from 82.2 % to 99.7 %. Text flags carry most of the gain and laboratory flags a smaller part. This is the single-modality gap the project set out to close, but it is partly a property of how the data were generated, since the severity score gives the report flags large weights. Global SHAP importance ranks SpO2, arrival mode, shortness of breath, systolic pressure, respiratory rate highest, in line with those weights, which checks the explainer rather than clinical reasoning.</w:t>
      </w:r>
    </w:p>
    <w:p>
      <w:pPr>
        <w:keepNext w:val="0"/>
        <w:spacing w:after="0" w:before="0" w:line="240" w:lineRule="auto"/>
        <w:ind w:firstLine="288"/>
        <w:jc w:val="both"/>
      </w:pPr>
      <w:r>
        <w:rPr>
          <w:rFonts w:ascii="Times New Roman" w:hAnsi="Times New Roman" w:cs="Times New Roman" w:eastAsia="Times New Roman"/>
          <w:b/>
          <w:sz w:val="20"/>
        </w:rPr>
        <w:t>Confidence and safety.</w:t>
      </w:r>
      <w:r>
        <w:rPr>
          <w:rFonts w:ascii="Times New Roman" w:hAnsi="Times New Roman" w:cs="Times New Roman" w:eastAsia="Times New Roman"/>
          <w:sz w:val="20"/>
        </w:rPr>
        <w:t xml:space="preserve"> Isotonic calibration lowers ECE only from 0.047 to 0.041, and the 0.8 to 0.9 confidence bin is over-confident (observed accuracy about 66 %). Restricting to confidence of at least 0.85 keeps 25.5% of cases at 87.6% accuracy (Fig. 3d), which parallels the 0.85 threshold of the base paper. The model under-triages 21.3% of cases (less urgent than recorded) and over-triages 9.2%; 4 cases are under-triaged by two levels and none over-triaged by two. Treating priorities 1-2 as a high-risk class, recall is 66.2% at the arg-max and precision 90.6%; flagging high risk whenever P1 + P2 is at least 0.4 would give recall 84.3% at precision 81.6%, but this rule is not implemented. A clinician must therefore review every priority.</w:t>
      </w:r>
    </w:p>
    <w:p>
      <w:pPr>
        <w:keepNext w:val="0"/>
        <w:spacing w:after="0" w:before="0" w:line="240" w:lineRule="auto"/>
        <w:ind w:firstLine="288"/>
        <w:jc w:val="both"/>
      </w:pPr>
      <w:r>
        <w:rPr>
          <w:rFonts w:ascii="Times New Roman" w:hAnsi="Times New Roman" w:cs="Times New Roman" w:eastAsia="Times New Roman"/>
          <w:b/>
          <w:sz w:val="20"/>
        </w:rPr>
        <w:t>Worked example.</w:t>
      </w:r>
      <w:r>
        <w:rPr>
          <w:rFonts w:ascii="Times New Roman" w:hAnsi="Times New Roman" w:cs="Times New Roman" w:eastAsia="Times New Roman"/>
          <w:sz w:val="20"/>
        </w:rPr>
        <w:t xml:space="preserve"> Sample report 01 (chest pain radiating to the left arm, ST elevation on the ECG, raised troponin and lactate, diabetes and hypertension) is read from a two-page PDF and entered with a heart rate of 112, systolic pressure 96 and SpO2 93 %. The model assigns priority 1 (Critical) at confidence 100 %, and the SHAP list puts ST elevation first (contribution +3.11), then raised troponin (+2.19), raised lactate (+1.51), heart rate and SpO2 (Fig. 4). When the clinician changes a priority, the case keeps the model's original suggestion, the queue is reordered, and the change appears as CHANGED in the clinician column.</w:t>
      </w:r>
    </w:p>
    <w:p>
      <w:pPr>
        <w:keepNext w:val="0"/>
        <w:spacing w:after="0" w:before="0" w:line="240" w:lineRule="auto"/>
        <w:ind w:firstLine="288"/>
        <w:jc w:val="both"/>
      </w:pPr>
      <w:r>
        <w:rPr>
          <w:rFonts w:ascii="Times New Roman" w:hAnsi="Times New Roman" w:cs="Times New Roman" w:eastAsia="Times New Roman"/>
          <w:b/>
          <w:sz w:val="20"/>
        </w:rPr>
        <w:t>Report reader and robustness.</w:t>
      </w:r>
      <w:r>
        <w:rPr>
          <w:rFonts w:ascii="Times New Roman" w:hAnsi="Times New Roman" w:cs="Times New Roman" w:eastAsia="Times New Roman"/>
          <w:sz w:val="20"/>
        </w:rPr>
        <w:t xml:space="preserve"> The reader recovers every flag in the 12 generated sample reports (precision and recall 100 %), but these were written with the lexicon in view. On 40 hand-written fragments it reaches precision 95.2% and recall 84.3%, with recall of 14.3% on paraphrases it does not contain ("cannot catch his breath"), 57.1% on split OCR words and 50.0% precision on negation, where "afebrile" is read as fever and a negation cue before "but" hides the following finding. If a fifth of positive report flags are missed, accuracy drops from 69.4 % to 62.1 %; with no report it is 33.9 %. A reader recall near 84% corresponds roughly to the 10 % to 20 % loss rows of that experiment. Timings over HTTP: a PDF report is read and triaged in 30 ms (median), a scanned image in 2.1 s, dominated by OCR.</w:t>
      </w:r>
    </w:p>
    <w:p>
      <w:pPr>
        <w:keepNext w:val="0"/>
        <w:spacing w:after="0" w:before="0" w:line="240" w:lineRule="auto"/>
        <w:ind w:firstLine="288"/>
        <w:jc w:val="both"/>
      </w:pPr>
      <w:r>
        <w:rPr>
          <w:rFonts w:ascii="Times New Roman" w:hAnsi="Times New Roman" w:cs="Times New Roman" w:eastAsia="Times New Roman"/>
          <w:b/>
          <w:sz w:val="20"/>
        </w:rPr>
        <w:t>Service performance and tests.</w:t>
      </w:r>
      <w:r>
        <w:rPr>
          <w:rFonts w:ascii="Times New Roman" w:hAnsi="Times New Roman" w:cs="Times New Roman" w:eastAsia="Times New Roman"/>
          <w:sz w:val="20"/>
        </w:rPr>
        <w:t xml:space="preserve"> Medians over repeated calls on 127.0.0.1: creating a patient with model and SHAP takes 21.7 ms, reading a text PDF 9.3 ms, loading the queue 9.4 ms, building a summary PDF 9.0 ms and signing in 216 ms (bcrypt). Reading an image scan takes 2.2 s on the CPU. Of 47 automated tests, 46 pass and one is an expected failure that records the negation-scope defect; all 17 smoke checks pass. Untested are concurrent users, real scans other than four generated images, and any security assessment beyond authentication, input limits and a path-traversal check; the default signing secret must be replaced before any deployment.</w:t>
      </w:r>
    </w:p>
    <w:p>
      <w:pPr>
        <w:keepNext w:val="0"/>
        <w:spacing w:after="0" w:before="0" w:line="240" w:lineRule="auto"/>
        <w:ind w:firstLine="288"/>
        <w:jc w:val="both"/>
      </w:pPr>
      <w:r>
        <w:rPr>
          <w:rFonts w:ascii="Times New Roman" w:hAnsi="Times New Roman" w:cs="Times New Roman" w:eastAsia="Times New Roman"/>
          <w:b/>
          <w:sz w:val="20"/>
        </w:rPr>
        <w:t>Threats to validity.</w:t>
      </w:r>
      <w:r>
        <w:rPr>
          <w:rFonts w:ascii="Times New Roman" w:hAnsi="Times New Roman" w:cs="Times New Roman" w:eastAsia="Times New Roman"/>
          <w:sz w:val="20"/>
        </w:rPr>
        <w:t xml:space="preserve"> The labels are a known function of the inputs, so accuracy measures rule recovery. The hold-out is a single split with 1,200 cases, and its priority-1 class has only 66 cases. The hand-written fragments were written by the developers. Timings come from one shared machine. Only real triage records and a prospective study remove them.</w:t>
      </w:r>
    </w:p>
    <w:p>
      <w:pPr>
        <w:keepNext/>
        <w:spacing w:before="80"/>
        <w:jc w:val="center"/>
      </w:pPr>
      <w:r>
        <w:drawing>
          <wp:inline xmlns:a="http://schemas.openxmlformats.org/drawingml/2006/main" xmlns:pic="http://schemas.openxmlformats.org/drawingml/2006/picture">
            <wp:extent cx="3108960" cy="2351314"/>
            <wp:docPr id="4" name="Picture 4"/>
            <wp:cNvGraphicFramePr>
              <a:graphicFrameLocks noChangeAspect="1"/>
            </wp:cNvGraphicFramePr>
            <a:graphic>
              <a:graphicData uri="http://schemas.openxmlformats.org/drawingml/2006/picture">
                <pic:pic>
                  <pic:nvPicPr>
                    <pic:cNvPr id="0" name="paper_screen_why.png"/>
                    <pic:cNvPicPr/>
                  </pic:nvPicPr>
                  <pic:blipFill>
                    <a:blip r:embed="rId12"/>
                    <a:stretch>
                      <a:fillRect/>
                    </a:stretch>
                  </pic:blipFill>
                  <pic:spPr>
                    <a:xfrm>
                      <a:off x="0" y="0"/>
                      <a:ext cx="3108960" cy="2351314"/>
                    </a:xfrm>
                    <a:prstGeom prst="rect"/>
                  </pic:spPr>
                </pic:pic>
              </a:graphicData>
            </a:graphic>
          </wp:inline>
        </w:drawing>
      </w:r>
    </w:p>
    <w:p>
      <w:pPr>
        <w:spacing w:after="100"/>
        <w:jc w:val="both"/>
      </w:pPr>
      <w:r>
        <w:rPr>
          <w:rFonts w:ascii="Times New Roman" w:hAnsi="Times New Roman" w:cs="Times New Roman" w:eastAsia="Times New Roman"/>
          <w:sz w:val="16"/>
        </w:rPr>
        <w:t>Fig. 4. Output screen: priority 1 for a chest-pain report, with extracted findings carrying page numbers and the SHAP list of reasons.</w:t>
      </w:r>
    </w:p>
    <w:p>
      <w:pPr>
        <w:keepNext w:val="0"/>
        <w:spacing w:after="0" w:before="0" w:line="240" w:lineRule="auto"/>
        <w:ind w:firstLine="288"/>
        <w:jc w:val="both"/>
      </w:pPr>
      <w:r>
        <w:rPr>
          <w:rFonts w:ascii="Times New Roman" w:hAnsi="Times New Roman" w:cs="Times New Roman" w:eastAsia="Times New Roman"/>
          <w:b/>
          <w:sz w:val="20"/>
        </w:rPr>
        <w:t>Reading the numbers in practice.</w:t>
      </w:r>
      <w:r>
        <w:rPr>
          <w:rFonts w:ascii="Times New Roman" w:hAnsi="Times New Roman" w:cs="Times New Roman" w:eastAsia="Times New Roman"/>
          <w:sz w:val="20"/>
        </w:rPr>
        <w:t xml:space="preserve"> Two results shape how the tool could be used. First, confidence is informative: accuracy rises from 71.2% at a threshold of 0.5 to 94.2% at 0.9, so a low confidence is a sensible prompt for a closer look. Second, the model cannot be trusted to protect the sickest patients unaided, since 33.8% of recorded priority-1 and 2 cases were not flagged high risk. For that reason the design keeps the clinician in the loop and records every acceptance and change, which also produces the data needed to measure agreement with clinicians in a real deployment.</w:t>
      </w:r>
    </w:p>
    <w:p>
      <w:pPr>
        <w:keepNext w:val="0"/>
        <w:spacing w:after="0" w:before="0" w:line="240" w:lineRule="auto"/>
        <w:ind w:firstLine="288"/>
        <w:jc w:val="both"/>
      </w:pPr>
      <w:r>
        <w:rPr>
          <w:rFonts w:ascii="Times New Roman" w:hAnsi="Times New Roman" w:cs="Times New Roman" w:eastAsia="Times New Roman"/>
          <w:b/>
          <w:sz w:val="20"/>
        </w:rPr>
        <w:t>Comparison with the base paper.</w:t>
      </w:r>
      <w:r>
        <w:rPr>
          <w:rFonts w:ascii="Times New Roman" w:hAnsi="Times New Roman" w:cs="Times New Roman" w:eastAsia="Times New Roman"/>
          <w:sz w:val="20"/>
        </w:rPr>
        <w:t xml:space="preserve"> The two works differ in task, data and metrics, so the figures are not comparable. The base paper reports 84.74% and 87.20% TOP-1 accuracy over 87 ICD-10 classes on real cases, and 73.33% and 78.33% on an external set; ATHENA reaches 69.4 % over five ordered levels on synthetic data. What carries over is method: probability ranking, a high-confidence threshold, SHAP, absent-means-zero input and a multi-algorithm comparison, where ATHENA adds report reading, fusion, calibration and the clinician loop. The base paper's external validation is the step ATHENA lacks and most needs.</w:t>
      </w:r>
    </w:p>
    <w:p>
      <w:pPr>
        <w:keepNext/>
        <w:spacing w:before="80"/>
        <w:jc w:val="center"/>
      </w:pPr>
      <w:r>
        <w:drawing>
          <wp:inline xmlns:a="http://schemas.openxmlformats.org/drawingml/2006/main" xmlns:pic="http://schemas.openxmlformats.org/drawingml/2006/picture">
            <wp:extent cx="3108960" cy="2351314"/>
            <wp:docPr id="5" name="Picture 5"/>
            <wp:cNvGraphicFramePr>
              <a:graphicFrameLocks noChangeAspect="1"/>
            </wp:cNvGraphicFramePr>
            <a:graphic>
              <a:graphicData uri="http://schemas.openxmlformats.org/drawingml/2006/picture">
                <pic:pic>
                  <pic:nvPicPr>
                    <pic:cNvPr id="0" name="paper_screen_perf.png"/>
                    <pic:cNvPicPr/>
                  </pic:nvPicPr>
                  <pic:blipFill>
                    <a:blip r:embed="rId13"/>
                    <a:stretch>
                      <a:fillRect/>
                    </a:stretch>
                  </pic:blipFill>
                  <pic:spPr>
                    <a:xfrm>
                      <a:off x="0" y="0"/>
                      <a:ext cx="3108960" cy="2351314"/>
                    </a:xfrm>
                    <a:prstGeom prst="rect"/>
                  </pic:spPr>
                </pic:pic>
              </a:graphicData>
            </a:graphic>
          </wp:inline>
        </w:drawing>
      </w:r>
    </w:p>
    <w:p>
      <w:pPr>
        <w:spacing w:after="100"/>
        <w:jc w:val="both"/>
      </w:pPr>
      <w:r>
        <w:rPr>
          <w:rFonts w:ascii="Times New Roman" w:hAnsi="Times New Roman" w:cs="Times New Roman" w:eastAsia="Times New Roman"/>
          <w:sz w:val="16"/>
        </w:rPr>
        <w:t>Fig. 5. Output screen: model performance page with accuracy, within-one accuracy, macro F1, live seconds per patient, recall per priority and the confusion matrix, flagged as synthetic.</w:t>
      </w:r>
    </w:p>
    <w:p>
      <w:pPr>
        <w:keepNext/>
        <w:spacing w:before="160" w:after="80"/>
        <w:jc w:val="center"/>
      </w:pPr>
      <w:r>
        <w:rPr>
          <w:rFonts w:ascii="Times New Roman" w:hAnsi="Times New Roman" w:cs="Times New Roman" w:eastAsia="Times New Roman"/>
          <w:b/>
          <w:sz w:val="20"/>
        </w:rPr>
        <w:t>V. CONCLUSION</w:t>
      </w:r>
    </w:p>
    <w:p>
      <w:pPr>
        <w:keepNext w:val="0"/>
        <w:spacing w:after="0" w:before="0" w:line="240" w:lineRule="auto"/>
        <w:ind w:firstLine="288"/>
        <w:jc w:val="both"/>
      </w:pPr>
      <w:r>
        <w:rPr>
          <w:rFonts w:ascii="Times New Roman" w:hAnsi="Times New Roman" w:cs="Times New Roman" w:eastAsia="Times New Roman"/>
          <w:sz w:val="20"/>
        </w:rPr>
        <w:t>ATHENA reads a scanned report, fuses it with vitals, and returns a calibrated priority with per-patient reasons and a recorded clinician decision, as one tested application. Against the six objectives, OCR, fusion, priority and risk assignment, and explanation are met; extraction with a medical language model is only partly met, because a lexicon replaced BioBERT; and accuracy against clinician-assigned priority is met only against the synthetic recorded priority, with time per patient measured.</w:t>
      </w:r>
    </w:p>
    <w:p>
      <w:pPr>
        <w:keepNext w:val="0"/>
        <w:spacing w:after="0" w:before="0" w:line="240" w:lineRule="auto"/>
        <w:ind w:firstLine="288"/>
        <w:jc w:val="both"/>
      </w:pPr>
      <w:r>
        <w:rPr>
          <w:rFonts w:ascii="Times New Roman" w:hAnsi="Times New Roman" w:cs="Times New Roman" w:eastAsia="Times New Roman"/>
          <w:sz w:val="20"/>
        </w:rPr>
        <w:t>The key finding is that report and vitals together beat either alone (68.2 % against 40.6 % and 63.2 %), while the weak points are the sickest patients (priority 1 recall 43.9 %, high-risk recall 66%), a reader that misses paraphrases, only modest calibration and a linear baseline that matches the shipped model. No real patient data, clinician study or external validation was used, so no clinical claim is made.</w:t>
      </w:r>
    </w:p>
    <w:p>
      <w:pPr>
        <w:keepNext w:val="0"/>
        <w:spacing w:after="0" w:before="0" w:line="240" w:lineRule="auto"/>
        <w:ind w:firstLine="288"/>
        <w:jc w:val="both"/>
      </w:pPr>
      <w:r>
        <w:rPr>
          <w:rFonts w:ascii="Times New Roman" w:hAnsi="Times New Roman" w:cs="Times New Roman" w:eastAsia="Times New Roman"/>
          <w:sz w:val="20"/>
        </w:rPr>
        <w:t>Not built from the original plan: a biomedical language model, retrieval-augmented reasoning, multi-agent control, a document database and the six disease-risk models. A lexicon, a single calibrated classifier and SQLite replaced them, keeping the system small and offline.</w:t>
      </w:r>
    </w:p>
    <w:p>
      <w:pPr>
        <w:keepNext w:val="0"/>
        <w:spacing w:after="0" w:before="0" w:line="240" w:lineRule="auto"/>
        <w:ind w:firstLine="288"/>
        <w:jc w:val="both"/>
      </w:pPr>
      <w:r>
        <w:rPr>
          <w:rFonts w:ascii="Times New Roman" w:hAnsi="Times New Roman" w:cs="Times New Roman" w:eastAsia="Times New Roman"/>
          <w:sz w:val="20"/>
        </w:rPr>
        <w:t>Future work: train and validate on real triage records with credentialed access; replace the lexicon with a biomedical language model and fix its negation scope; add the P1 + P2 high-risk rule and better calibration; test on real scans; harden authentication and logging; and run a usability study with clinicians.</w:t>
      </w:r>
    </w:p>
    <w:p>
      <w:pPr>
        <w:keepNext/>
        <w:spacing w:before="160" w:after="80"/>
        <w:jc w:val="center"/>
      </w:pPr>
      <w:r>
        <w:rPr>
          <w:rFonts w:ascii="Times New Roman" w:hAnsi="Times New Roman" w:cs="Times New Roman" w:eastAsia="Times New Roman"/>
          <w:b/>
          <w:sz w:val="20"/>
        </w:rPr>
        <w:t>REFERENCES</w:t>
      </w:r>
    </w:p>
    <w:p>
      <w:pPr>
        <w:spacing w:after="20"/>
        <w:ind w:left="432" w:hanging="432"/>
        <w:jc w:val="both"/>
      </w:pPr>
      <w:r>
        <w:rPr>
          <w:rFonts w:ascii="Times New Roman" w:hAnsi="Times New Roman" w:cs="Times New Roman" w:eastAsia="Times New Roman"/>
          <w:sz w:val="16"/>
        </w:rPr>
        <w:t xml:space="preserve">[1]  M. Mlodawski, S. Deniziak, M. Plaza, A. Kwiatkowska, D. Jaszczyk, A. Gajda and K. Twardowski, "Multidimensional analysis of the diagnostic performance of machine learning models in disease classification: implications for clinical decision support systems," </w:t>
      </w:r>
      <w:r>
        <w:rPr>
          <w:rFonts w:ascii="Times New Roman" w:hAnsi="Times New Roman" w:cs="Times New Roman" w:eastAsia="Times New Roman"/>
          <w:i/>
          <w:sz w:val="16"/>
        </w:rPr>
        <w:t>IEEE Access</w:t>
      </w:r>
      <w:r>
        <w:rPr>
          <w:rFonts w:ascii="Times New Roman" w:hAnsi="Times New Roman" w:cs="Times New Roman" w:eastAsia="Times New Roman"/>
          <w:sz w:val="16"/>
        </w:rPr>
        <w:t>, vol. 14, pp. 92149-92177, 2026, doi: 10.1109/ACCESS.2026.3703248.</w:t>
      </w:r>
    </w:p>
    <w:p>
      <w:pPr>
        <w:spacing w:after="20"/>
        <w:ind w:left="432" w:hanging="432"/>
        <w:jc w:val="both"/>
      </w:pPr>
      <w:r>
        <w:rPr>
          <w:rFonts w:ascii="Times New Roman" w:hAnsi="Times New Roman" w:cs="Times New Roman" w:eastAsia="Times New Roman"/>
          <w:sz w:val="16"/>
        </w:rPr>
        <w:t xml:space="preserve">[2]  N. Gilboy, P. Tanabe, D. Travers and A. M. Rosenau, </w:t>
      </w:r>
      <w:r>
        <w:rPr>
          <w:rFonts w:ascii="Times New Roman" w:hAnsi="Times New Roman" w:cs="Times New Roman" w:eastAsia="Times New Roman"/>
          <w:i/>
          <w:sz w:val="16"/>
        </w:rPr>
        <w:t>Emergency Severity Index (ESI): A Triage Tool for Emergency Department Care, Version 4, Implementation Handbook 2012 Edition</w:t>
      </w:r>
      <w:r>
        <w:rPr>
          <w:rFonts w:ascii="Times New Roman" w:hAnsi="Times New Roman" w:cs="Times New Roman" w:eastAsia="Times New Roman"/>
          <w:sz w:val="16"/>
        </w:rPr>
        <w:t>, AHRQ Pub. no. 12-0014. Rockville, MD, USA: Agency for Healthcare Research and Quality, 2011.</w:t>
      </w:r>
    </w:p>
    <w:p>
      <w:pPr>
        <w:spacing w:after="20"/>
        <w:ind w:left="432" w:hanging="432"/>
        <w:jc w:val="both"/>
      </w:pPr>
      <w:r>
        <w:rPr>
          <w:rFonts w:ascii="Times New Roman" w:hAnsi="Times New Roman" w:cs="Times New Roman" w:eastAsia="Times New Roman"/>
          <w:sz w:val="16"/>
        </w:rPr>
        <w:t xml:space="preserve">[3]  J. S. Hinson, D. A. Martinez, S. Cabral et al., "Triage performance in emergency medicine: a systematic review," </w:t>
      </w:r>
      <w:r>
        <w:rPr>
          <w:rFonts w:ascii="Times New Roman" w:hAnsi="Times New Roman" w:cs="Times New Roman" w:eastAsia="Times New Roman"/>
          <w:i/>
          <w:sz w:val="16"/>
        </w:rPr>
        <w:t>Ann. Emerg. Med.</w:t>
      </w:r>
      <w:r>
        <w:rPr>
          <w:rFonts w:ascii="Times New Roman" w:hAnsi="Times New Roman" w:cs="Times New Roman" w:eastAsia="Times New Roman"/>
          <w:sz w:val="16"/>
        </w:rPr>
        <w:t>, vol. 74, no. 1, pp. 140-152, Jul. 2019, doi: 10.1016/j.annemergmed.2018.09.022.</w:t>
      </w:r>
    </w:p>
    <w:p>
      <w:pPr>
        <w:spacing w:after="20"/>
        <w:ind w:left="432" w:hanging="432"/>
        <w:jc w:val="both"/>
      </w:pPr>
      <w:r>
        <w:rPr>
          <w:rFonts w:ascii="Times New Roman" w:hAnsi="Times New Roman" w:cs="Times New Roman" w:eastAsia="Times New Roman"/>
          <w:sz w:val="16"/>
        </w:rPr>
        <w:t xml:space="preserve">[4]  W. S. Hong, A. D. Haimovich and R. A. Taylor, "Predicting hospital admission at emergency department triage using machine learning," </w:t>
      </w:r>
      <w:r>
        <w:rPr>
          <w:rFonts w:ascii="Times New Roman" w:hAnsi="Times New Roman" w:cs="Times New Roman" w:eastAsia="Times New Roman"/>
          <w:i/>
          <w:sz w:val="16"/>
        </w:rPr>
        <w:t>PLoS ONE</w:t>
      </w:r>
      <w:r>
        <w:rPr>
          <w:rFonts w:ascii="Times New Roman" w:hAnsi="Times New Roman" w:cs="Times New Roman" w:eastAsia="Times New Roman"/>
          <w:sz w:val="16"/>
        </w:rPr>
        <w:t>, vol. 13, no. 7, Art. no. e0201016, Jul. 2018, doi: 10.1371/journal.pone.0201016.</w:t>
      </w:r>
    </w:p>
    <w:p>
      <w:pPr>
        <w:spacing w:after="20"/>
        <w:ind w:left="432" w:hanging="432"/>
        <w:jc w:val="both"/>
      </w:pPr>
      <w:r>
        <w:rPr>
          <w:rFonts w:ascii="Times New Roman" w:hAnsi="Times New Roman" w:cs="Times New Roman" w:eastAsia="Times New Roman"/>
          <w:sz w:val="16"/>
        </w:rPr>
        <w:t xml:space="preserve">[5]  S. Levin et al., "Machine-learning-based electronic triage more accurately differentiates patients with respect to clinical outcomes compared with the Emergency Severity Index," </w:t>
      </w:r>
      <w:r>
        <w:rPr>
          <w:rFonts w:ascii="Times New Roman" w:hAnsi="Times New Roman" w:cs="Times New Roman" w:eastAsia="Times New Roman"/>
          <w:i/>
          <w:sz w:val="16"/>
        </w:rPr>
        <w:t>Ann. Emerg. Med.</w:t>
      </w:r>
      <w:r>
        <w:rPr>
          <w:rFonts w:ascii="Times New Roman" w:hAnsi="Times New Roman" w:cs="Times New Roman" w:eastAsia="Times New Roman"/>
          <w:sz w:val="16"/>
        </w:rPr>
        <w:t>, vol. 71, no. 5, pp. 565-574, May 2018, doi: 10.1016/j.annemergmed.2017.08.005.</w:t>
      </w:r>
    </w:p>
    <w:p>
      <w:pPr>
        <w:spacing w:after="20"/>
        <w:ind w:left="432" w:hanging="432"/>
        <w:jc w:val="both"/>
      </w:pPr>
      <w:r>
        <w:rPr>
          <w:rFonts w:ascii="Times New Roman" w:hAnsi="Times New Roman" w:cs="Times New Roman" w:eastAsia="Times New Roman"/>
          <w:sz w:val="16"/>
        </w:rPr>
        <w:t xml:space="preserve">[6]  Y. Raita et al., "Emergency department triage prediction of clinical outcomes using machine learning models," </w:t>
      </w:r>
      <w:r>
        <w:rPr>
          <w:rFonts w:ascii="Times New Roman" w:hAnsi="Times New Roman" w:cs="Times New Roman" w:eastAsia="Times New Roman"/>
          <w:i/>
          <w:sz w:val="16"/>
        </w:rPr>
        <w:t>Crit. Care</w:t>
      </w:r>
      <w:r>
        <w:rPr>
          <w:rFonts w:ascii="Times New Roman" w:hAnsi="Times New Roman" w:cs="Times New Roman" w:eastAsia="Times New Roman"/>
          <w:sz w:val="16"/>
        </w:rPr>
        <w:t>, vol. 23, Art. no. 64, Feb. 2019, doi: 10.1186/s13054-019-2351-7.</w:t>
      </w:r>
    </w:p>
    <w:p>
      <w:pPr>
        <w:spacing w:after="20"/>
        <w:ind w:left="432" w:hanging="432"/>
        <w:jc w:val="both"/>
      </w:pPr>
      <w:r>
        <w:rPr>
          <w:rFonts w:ascii="Times New Roman" w:hAnsi="Times New Roman" w:cs="Times New Roman" w:eastAsia="Times New Roman"/>
          <w:sz w:val="16"/>
        </w:rPr>
        <w:t xml:space="preserve">[7]  M. Fernandes, S. M. Vieira, F. Leite, C. Palos, S. Finkelstein and J. M. C. Sousa, "Clinical decision support systems for triage in the emergency department using intelligent systems: a review," </w:t>
      </w:r>
      <w:r>
        <w:rPr>
          <w:rFonts w:ascii="Times New Roman" w:hAnsi="Times New Roman" w:cs="Times New Roman" w:eastAsia="Times New Roman"/>
          <w:i/>
          <w:sz w:val="16"/>
        </w:rPr>
        <w:t>Artif. Intell. Med.</w:t>
      </w:r>
      <w:r>
        <w:rPr>
          <w:rFonts w:ascii="Times New Roman" w:hAnsi="Times New Roman" w:cs="Times New Roman" w:eastAsia="Times New Roman"/>
          <w:sz w:val="16"/>
        </w:rPr>
        <w:t>, vol. 102, Art. no. 101762, Jan. 2020, doi: 10.1016/j.artmed.2019.101762.</w:t>
      </w:r>
    </w:p>
    <w:p>
      <w:pPr>
        <w:spacing w:after="20"/>
        <w:ind w:left="432" w:hanging="432"/>
        <w:jc w:val="both"/>
      </w:pPr>
      <w:r>
        <w:rPr>
          <w:rFonts w:ascii="Times New Roman" w:hAnsi="Times New Roman" w:cs="Times New Roman" w:eastAsia="Times New Roman"/>
          <w:sz w:val="16"/>
        </w:rPr>
        <w:t xml:space="preserve">[8]  T. Chen and C. Guestrin, "XGBoost: a scalable tree boosting system," in </w:t>
      </w:r>
      <w:r>
        <w:rPr>
          <w:rFonts w:ascii="Times New Roman" w:hAnsi="Times New Roman" w:cs="Times New Roman" w:eastAsia="Times New Roman"/>
          <w:i/>
          <w:sz w:val="16"/>
        </w:rPr>
        <w:t>Proc. 22nd ACM SIGKDD Int. Conf. Knowl. Discovery Data Mining</w:t>
      </w:r>
      <w:r>
        <w:rPr>
          <w:rFonts w:ascii="Times New Roman" w:hAnsi="Times New Roman" w:cs="Times New Roman" w:eastAsia="Times New Roman"/>
          <w:sz w:val="16"/>
        </w:rPr>
        <w:t>, San Francisco, CA, USA, 2016, pp. 785-794, doi: 10.1145/2939672.2939785.</w:t>
      </w:r>
    </w:p>
    <w:p>
      <w:pPr>
        <w:spacing w:after="20"/>
        <w:ind w:left="432" w:hanging="432"/>
        <w:jc w:val="both"/>
      </w:pPr>
      <w:r>
        <w:rPr>
          <w:rFonts w:ascii="Times New Roman" w:hAnsi="Times New Roman" w:cs="Times New Roman" w:eastAsia="Times New Roman"/>
          <w:sz w:val="16"/>
        </w:rPr>
        <w:t xml:space="preserve">[9]  F. Pedregosa et al., "Scikit-learn: machine learning in Python," </w:t>
      </w:r>
      <w:r>
        <w:rPr>
          <w:rFonts w:ascii="Times New Roman" w:hAnsi="Times New Roman" w:cs="Times New Roman" w:eastAsia="Times New Roman"/>
          <w:i/>
          <w:sz w:val="16"/>
        </w:rPr>
        <w:t>J. Mach. Learn. Res.</w:t>
      </w:r>
      <w:r>
        <w:rPr>
          <w:rFonts w:ascii="Times New Roman" w:hAnsi="Times New Roman" w:cs="Times New Roman" w:eastAsia="Times New Roman"/>
          <w:sz w:val="16"/>
        </w:rPr>
        <w:t>, vol. 12, pp. 2825-2830, 2011.</w:t>
      </w:r>
    </w:p>
    <w:p>
      <w:pPr>
        <w:spacing w:after="20"/>
        <w:ind w:left="432" w:hanging="432"/>
        <w:jc w:val="both"/>
      </w:pPr>
      <w:r>
        <w:rPr>
          <w:rFonts w:ascii="Times New Roman" w:hAnsi="Times New Roman" w:cs="Times New Roman" w:eastAsia="Times New Roman"/>
          <w:sz w:val="16"/>
        </w:rPr>
        <w:t xml:space="preserve">[10]  S. M. Lundberg and S.-I. Lee, "A unified approach to interpreting model predictions," in </w:t>
      </w:r>
      <w:r>
        <w:rPr>
          <w:rFonts w:ascii="Times New Roman" w:hAnsi="Times New Roman" w:cs="Times New Roman" w:eastAsia="Times New Roman"/>
          <w:i/>
          <w:sz w:val="16"/>
        </w:rPr>
        <w:t>Proc. Adv. Neural Inf. Process. Syst. (NeurIPS)</w:t>
      </w:r>
      <w:r>
        <w:rPr>
          <w:rFonts w:ascii="Times New Roman" w:hAnsi="Times New Roman" w:cs="Times New Roman" w:eastAsia="Times New Roman"/>
          <w:sz w:val="16"/>
        </w:rPr>
        <w:t>, vol. 30, 2017, pp. 4765-4774, arXiv:1705.07874.</w:t>
      </w:r>
    </w:p>
    <w:p>
      <w:pPr>
        <w:spacing w:after="20"/>
        <w:ind w:left="432" w:hanging="432"/>
        <w:jc w:val="both"/>
      </w:pPr>
      <w:r>
        <w:rPr>
          <w:rFonts w:ascii="Times New Roman" w:hAnsi="Times New Roman" w:cs="Times New Roman" w:eastAsia="Times New Roman"/>
          <w:sz w:val="16"/>
        </w:rPr>
        <w:t xml:space="preserve">[11]  F. Xie et al., "Benchmarking emergency department prediction models with machine learning and public electronic health records," </w:t>
      </w:r>
      <w:r>
        <w:rPr>
          <w:rFonts w:ascii="Times New Roman" w:hAnsi="Times New Roman" w:cs="Times New Roman" w:eastAsia="Times New Roman"/>
          <w:i/>
          <w:sz w:val="16"/>
        </w:rPr>
        <w:t>Sci. Data</w:t>
      </w:r>
      <w:r>
        <w:rPr>
          <w:rFonts w:ascii="Times New Roman" w:hAnsi="Times New Roman" w:cs="Times New Roman" w:eastAsia="Times New Roman"/>
          <w:sz w:val="16"/>
        </w:rPr>
        <w:t>, vol. 9, Art. no. 658, Oct. 2022, doi: 10.1038/s41597-022-01782-9.</w:t>
      </w:r>
    </w:p>
    <w:p>
      <w:pPr>
        <w:spacing w:after="20"/>
        <w:ind w:left="432" w:hanging="432"/>
        <w:jc w:val="both"/>
      </w:pPr>
      <w:r>
        <w:rPr>
          <w:rFonts w:ascii="Times New Roman" w:hAnsi="Times New Roman" w:cs="Times New Roman" w:eastAsia="Times New Roman"/>
          <w:sz w:val="16"/>
        </w:rPr>
        <w:t xml:space="preserve">[12]  "The effects of patient triage management strategies on clinical outcomes and risk management in emergency departments: a prospective comparative study," </w:t>
      </w:r>
      <w:r>
        <w:rPr>
          <w:rFonts w:ascii="Times New Roman" w:hAnsi="Times New Roman" w:cs="Times New Roman" w:eastAsia="Times New Roman"/>
          <w:i/>
          <w:sz w:val="16"/>
        </w:rPr>
        <w:t>Anatolian Curr. Med. J.</w:t>
      </w:r>
      <w:r>
        <w:rPr>
          <w:rFonts w:ascii="Times New Roman" w:hAnsi="Times New Roman" w:cs="Times New Roman" w:eastAsia="Times New Roman"/>
          <w:sz w:val="16"/>
        </w:rPr>
        <w:t>, vol. 7, no. 1, Jan. 2025.</w:t>
      </w:r>
    </w:p>
    <w:p>
      <w:pPr>
        <w:spacing w:after="20"/>
        <w:ind w:left="432" w:hanging="432"/>
        <w:jc w:val="both"/>
      </w:pPr>
      <w:r>
        <w:rPr>
          <w:rFonts w:ascii="Times New Roman" w:hAnsi="Times New Roman" w:cs="Times New Roman" w:eastAsia="Times New Roman"/>
          <w:sz w:val="16"/>
        </w:rPr>
        <w:t xml:space="preserve">[13]  J. Lee, W. Yoon, S. Kim, D. Kim, S. Kim, C. H. So and J. Kang, "BioBERT: a pre-trained biomedical language representation model for biomedical text mining," </w:t>
      </w:r>
      <w:r>
        <w:rPr>
          <w:rFonts w:ascii="Times New Roman" w:hAnsi="Times New Roman" w:cs="Times New Roman" w:eastAsia="Times New Roman"/>
          <w:i/>
          <w:sz w:val="16"/>
        </w:rPr>
        <w:t>Bioinformatics</w:t>
      </w:r>
      <w:r>
        <w:rPr>
          <w:rFonts w:ascii="Times New Roman" w:hAnsi="Times New Roman" w:cs="Times New Roman" w:eastAsia="Times New Roman"/>
          <w:sz w:val="16"/>
        </w:rPr>
        <w:t>, vol. 36, no. 4, pp. 1234-1240, Feb. 2020, doi: 10.1093/bioinformatics/btz682.</w:t>
      </w:r>
    </w:p>
    <w:p>
      <w:pPr>
        <w:spacing w:after="20"/>
        <w:ind w:left="432" w:hanging="432"/>
        <w:jc w:val="both"/>
      </w:pPr>
      <w:r>
        <w:rPr>
          <w:rFonts w:ascii="Times New Roman" w:hAnsi="Times New Roman" w:cs="Times New Roman" w:eastAsia="Times New Roman"/>
          <w:sz w:val="16"/>
        </w:rPr>
        <w:t>[14]  Y. Du et al., "PP-OCR: a practical ultra lightweight OCR system," arXiv:2009.09941, Sep. 2020.</w:t>
      </w:r>
    </w:p>
    <w:p>
      <w:pPr>
        <w:spacing w:after="20"/>
        <w:ind w:left="432" w:hanging="432"/>
        <w:jc w:val="both"/>
      </w:pPr>
      <w:r>
        <w:rPr>
          <w:rFonts w:ascii="Times New Roman" w:hAnsi="Times New Roman" w:cs="Times New Roman" w:eastAsia="Times New Roman"/>
          <w:sz w:val="16"/>
        </w:rPr>
        <w:t>[15]  H. Cheng, C. Yu, Y. Shi, C. Wang, C. Liu and Z. Jin, "Collaborative medical triage under uncertainty: a multi-agent dynamic matching approach," arXiv:2507.22504, Jul. 2025.</w:t>
      </w:r>
    </w:p>
    <w:p>
      <w:pPr>
        <w:spacing w:after="20"/>
        <w:ind w:left="432" w:hanging="432"/>
        <w:jc w:val="both"/>
      </w:pPr>
      <w:r>
        <w:rPr>
          <w:rFonts w:ascii="Times New Roman" w:hAnsi="Times New Roman" w:cs="Times New Roman" w:eastAsia="Times New Roman"/>
          <w:sz w:val="16"/>
        </w:rPr>
        <w:t xml:space="preserve">[16]  S. M. Lundberg et al., "From local explanations to global understanding with explainable AI for trees," </w:t>
      </w:r>
      <w:r>
        <w:rPr>
          <w:rFonts w:ascii="Times New Roman" w:hAnsi="Times New Roman" w:cs="Times New Roman" w:eastAsia="Times New Roman"/>
          <w:i/>
          <w:sz w:val="16"/>
        </w:rPr>
        <w:t>Nat. Mach. Intell.</w:t>
      </w:r>
      <w:r>
        <w:rPr>
          <w:rFonts w:ascii="Times New Roman" w:hAnsi="Times New Roman" w:cs="Times New Roman" w:eastAsia="Times New Roman"/>
          <w:sz w:val="16"/>
        </w:rPr>
        <w:t>, vol. 2, no. 1, pp. 56-67, Jan. 2020, doi: 10.1038/s42256-019-0138-9.</w:t>
      </w:r>
    </w:p>
    <w:p>
      <w:pPr>
        <w:spacing w:after="20"/>
        <w:ind w:left="432" w:hanging="432"/>
        <w:jc w:val="both"/>
      </w:pPr>
      <w:r>
        <w:rPr>
          <w:rFonts w:ascii="Times New Roman" w:hAnsi="Times New Roman" w:cs="Times New Roman" w:eastAsia="Times New Roman"/>
          <w:sz w:val="16"/>
        </w:rPr>
        <w:t xml:space="preserve">[17]  B. Zadrozny and C. Elkan, "Transforming classifier scores into accurate multiclass probability estimates," in </w:t>
      </w:r>
      <w:r>
        <w:rPr>
          <w:rFonts w:ascii="Times New Roman" w:hAnsi="Times New Roman" w:cs="Times New Roman" w:eastAsia="Times New Roman"/>
          <w:i/>
          <w:sz w:val="16"/>
        </w:rPr>
        <w:t>Proc. 8th ACM SIGKDD Int. Conf. Knowl. Discovery Data Mining</w:t>
      </w:r>
      <w:r>
        <w:rPr>
          <w:rFonts w:ascii="Times New Roman" w:hAnsi="Times New Roman" w:cs="Times New Roman" w:eastAsia="Times New Roman"/>
          <w:sz w:val="16"/>
        </w:rPr>
        <w:t>, Edmonton, AB, Canada, 2002, pp. 694-699, doi: 10.1145/775047.775151.</w:t>
      </w:r>
    </w:p>
    <w:p>
      <w:pPr>
        <w:spacing w:after="20"/>
        <w:ind w:left="432" w:hanging="432"/>
        <w:jc w:val="both"/>
      </w:pPr>
      <w:r>
        <w:rPr>
          <w:rFonts w:ascii="Times New Roman" w:hAnsi="Times New Roman" w:cs="Times New Roman" w:eastAsia="Times New Roman"/>
          <w:sz w:val="16"/>
        </w:rPr>
        <w:t xml:space="preserve">[18]  C. Guo, G. Pleiss, Y. Sun and K. Q. Weinberger, "On calibration of modern neural networks," in </w:t>
      </w:r>
      <w:r>
        <w:rPr>
          <w:rFonts w:ascii="Times New Roman" w:hAnsi="Times New Roman" w:cs="Times New Roman" w:eastAsia="Times New Roman"/>
          <w:i/>
          <w:sz w:val="16"/>
        </w:rPr>
        <w:t>Proc. 34th Int. Conf. Mach. Learn. (ICML)</w:t>
      </w:r>
      <w:r>
        <w:rPr>
          <w:rFonts w:ascii="Times New Roman" w:hAnsi="Times New Roman" w:cs="Times New Roman" w:eastAsia="Times New Roman"/>
          <w:sz w:val="16"/>
        </w:rPr>
        <w:t>, PMLR vol. 70, 2017, pp. 1321-1330.</w:t>
      </w:r>
    </w:p>
    <w:p>
      <w:pPr>
        <w:spacing w:after="20"/>
        <w:ind w:left="432" w:hanging="432"/>
        <w:jc w:val="both"/>
      </w:pPr>
      <w:r>
        <w:rPr>
          <w:rFonts w:ascii="Times New Roman" w:hAnsi="Times New Roman" w:cs="Times New Roman" w:eastAsia="Times New Roman"/>
          <w:sz w:val="16"/>
        </w:rPr>
        <w:t xml:space="preserve">[19]  G. S. Collins et al., "TRIPOD+AI statement: updated guidance for reporting clinical prediction models that use regression or machine learning methods," </w:t>
      </w:r>
      <w:r>
        <w:rPr>
          <w:rFonts w:ascii="Times New Roman" w:hAnsi="Times New Roman" w:cs="Times New Roman" w:eastAsia="Times New Roman"/>
          <w:i/>
          <w:sz w:val="16"/>
        </w:rPr>
        <w:t>BMJ</w:t>
      </w:r>
      <w:r>
        <w:rPr>
          <w:rFonts w:ascii="Times New Roman" w:hAnsi="Times New Roman" w:cs="Times New Roman" w:eastAsia="Times New Roman"/>
          <w:sz w:val="16"/>
        </w:rPr>
        <w:t>, vol. 385, Art. no. e078378, Apr. 2024, doi: 10.1136/bmj-2023-078378.</w:t>
      </w:r>
    </w:p>
    <w:p>
      <w:pPr>
        <w:spacing w:after="20"/>
        <w:ind w:left="432" w:hanging="432"/>
        <w:jc w:val="both"/>
      </w:pPr>
      <w:r>
        <w:rPr>
          <w:rFonts w:ascii="Times New Roman" w:hAnsi="Times New Roman" w:cs="Times New Roman" w:eastAsia="Times New Roman"/>
          <w:sz w:val="16"/>
        </w:rPr>
        <w:t xml:space="preserve">[20]  L. Grinsztajn, E. Oyallon and G. Varoquaux, "Why do tree-based models still outperform deep learning on typical tabular data?" in </w:t>
      </w:r>
      <w:r>
        <w:rPr>
          <w:rFonts w:ascii="Times New Roman" w:hAnsi="Times New Roman" w:cs="Times New Roman" w:eastAsia="Times New Roman"/>
          <w:i/>
          <w:sz w:val="16"/>
        </w:rPr>
        <w:t>Proc. Adv. Neural Inf. Process. Syst. (NeurIPS) Datasets Benchmarks Track</w:t>
      </w:r>
      <w:r>
        <w:rPr>
          <w:rFonts w:ascii="Times New Roman" w:hAnsi="Times New Roman" w:cs="Times New Roman" w:eastAsia="Times New Roman"/>
          <w:sz w:val="16"/>
        </w:rPr>
        <w:t>, vol. 35, 2022, pp. 507-520, arXiv:2207.08815.</w:t>
      </w:r>
    </w:p>
    <w:sectPr w:rsidR="00FC693F" w:rsidRPr="0006063C" w:rsidSect="00034616">
      <w:type w:val="continuous"/>
      <w:pgSz w:w="12240" w:h="15840"/>
      <w:pgMar w:top="1080" w:right="994" w:bottom="1440" w:left="994"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