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2E76" w:rsidRDefault="00F72E76">
      <w:pPr>
        <w:spacing w:after="480" w:line="240" w:lineRule="auto"/>
      </w:pPr>
      <w:bookmarkStart w:id="0" w:name="_GoBack"/>
      <w:bookmarkEnd w:id="0"/>
    </w:p>
    <w:p w:rsidR="00F72E76" w:rsidRDefault="00B231DB">
      <w:pPr>
        <w:jc w:val="center"/>
      </w:pPr>
      <w:r>
        <w:rPr>
          <w:rFonts w:cs="Times New Roman"/>
          <w:b/>
          <w:sz w:val="36"/>
        </w:rPr>
        <w:t>DATA PROTECTION USING HYBRID ENCRYPTION AND STEGANOGRAPHY</w:t>
      </w:r>
    </w:p>
    <w:p w:rsidR="00F72E76" w:rsidRDefault="00B231DB">
      <w:pPr>
        <w:spacing w:after="280"/>
        <w:jc w:val="center"/>
      </w:pPr>
      <w:r>
        <w:rPr>
          <w:rFonts w:cs="Times New Roman"/>
          <w:b/>
          <w:sz w:val="28"/>
        </w:rPr>
        <w:t>Block Diagrams (all)</w:t>
      </w:r>
    </w:p>
    <w:p w:rsidR="00F72E76" w:rsidRDefault="00B231DB">
      <w:pPr>
        <w:spacing w:after="40"/>
        <w:jc w:val="center"/>
      </w:pPr>
      <w:r>
        <w:rPr>
          <w:rFonts w:cs="Times New Roman"/>
        </w:rPr>
        <w:t>Department of Computer Science and Engineering, TKR College of Engineering &amp; Technology</w:t>
      </w:r>
    </w:p>
    <w:p w:rsidR="00F72E76" w:rsidRDefault="00B231DB">
      <w:pPr>
        <w:spacing w:after="240"/>
        <w:jc w:val="center"/>
      </w:pPr>
      <w:r>
        <w:rPr>
          <w:rFonts w:cs="Times New Roman"/>
        </w:rPr>
        <w:t>Batch A15 (CSE-A)  ·  Academic year [ACADEMIC YEAR]</w:t>
      </w:r>
    </w:p>
    <w:p w:rsidR="00F72E76" w:rsidRDefault="00B231D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w:t>
      </w:r>
      <w:r>
        <w:rPr>
          <w:rFonts w:cs="Times New Roman"/>
        </w:rPr>
        <w:t>Project team</w:t>
      </w:r>
    </w:p>
    <w:tbl>
      <w:tblPr>
        <w:tblStyle w:val="TableGrid"/>
        <w:tblW w:w="0" w:type="auto"/>
        <w:jc w:val="center"/>
        <w:tblLook w:val="04A0" w:firstRow="1" w:lastRow="0" w:firstColumn="1" w:lastColumn="0" w:noHBand="0" w:noVBand="1"/>
      </w:tblPr>
      <w:tblGrid>
        <w:gridCol w:w="1008"/>
        <w:gridCol w:w="4896"/>
        <w:gridCol w:w="2592"/>
      </w:tblGrid>
      <w:tr w:rsidR="00F72E76">
        <w:trPr>
          <w:cantSplit/>
          <w:tblHeader/>
          <w:jc w:val="center"/>
        </w:trPr>
        <w:tc>
          <w:tcPr>
            <w:tcW w:w="1008" w:type="dxa"/>
            <w:shd w:val="clear" w:color="auto" w:fill="1B2A41"/>
          </w:tcPr>
          <w:p w:rsidR="00F72E76" w:rsidRDefault="00B231DB">
            <w:pPr>
              <w:spacing w:after="40" w:line="240" w:lineRule="auto"/>
              <w:jc w:val="center"/>
            </w:pPr>
            <w:r>
              <w:rPr>
                <w:rFonts w:cs="Times New Roman"/>
                <w:b/>
                <w:color w:val="FFFFFF"/>
                <w:sz w:val="22"/>
              </w:rPr>
              <w:t>S.No.</w:t>
            </w:r>
          </w:p>
        </w:tc>
        <w:tc>
          <w:tcPr>
            <w:tcW w:w="4896" w:type="dxa"/>
            <w:shd w:val="clear" w:color="auto" w:fill="1B2A41"/>
          </w:tcPr>
          <w:p w:rsidR="00F72E76" w:rsidRDefault="00B231DB">
            <w:pPr>
              <w:spacing w:after="40" w:line="240" w:lineRule="auto"/>
              <w:jc w:val="center"/>
            </w:pPr>
            <w:r>
              <w:rPr>
                <w:rFonts w:cs="Times New Roman"/>
                <w:b/>
                <w:color w:val="FFFFFF"/>
                <w:sz w:val="22"/>
              </w:rPr>
              <w:t>Student name</w:t>
            </w:r>
          </w:p>
        </w:tc>
        <w:tc>
          <w:tcPr>
            <w:tcW w:w="2592" w:type="dxa"/>
            <w:shd w:val="clear" w:color="auto" w:fill="1B2A41"/>
          </w:tcPr>
          <w:p w:rsidR="00F72E76" w:rsidRDefault="00B231DB">
            <w:pPr>
              <w:spacing w:after="40" w:line="240" w:lineRule="auto"/>
              <w:jc w:val="center"/>
            </w:pPr>
            <w:r>
              <w:rPr>
                <w:rFonts w:cs="Times New Roman"/>
                <w:b/>
                <w:color w:val="FFFFFF"/>
                <w:sz w:val="22"/>
              </w:rPr>
              <w:t>Roll number</w:t>
            </w:r>
          </w:p>
        </w:tc>
      </w:tr>
      <w:tr w:rsidR="00F72E76">
        <w:trPr>
          <w:cantSplit/>
          <w:jc w:val="center"/>
        </w:trPr>
        <w:tc>
          <w:tcPr>
            <w:tcW w:w="1008" w:type="dxa"/>
          </w:tcPr>
          <w:p w:rsidR="00F72E76" w:rsidRDefault="00B231DB">
            <w:pPr>
              <w:spacing w:after="40" w:line="240" w:lineRule="auto"/>
              <w:jc w:val="center"/>
            </w:pPr>
            <w:r>
              <w:rPr>
                <w:rFonts w:cs="Times New Roman"/>
                <w:sz w:val="22"/>
              </w:rPr>
              <w:t>1</w:t>
            </w:r>
          </w:p>
        </w:tc>
        <w:tc>
          <w:tcPr>
            <w:tcW w:w="4896" w:type="dxa"/>
          </w:tcPr>
          <w:p w:rsidR="00F72E76" w:rsidRDefault="00B231DB">
            <w:pPr>
              <w:spacing w:after="40" w:line="240" w:lineRule="auto"/>
              <w:jc w:val="left"/>
            </w:pPr>
            <w:r>
              <w:rPr>
                <w:rFonts w:cs="Times New Roman"/>
                <w:sz w:val="22"/>
              </w:rPr>
              <w:t>Allam Rakesh</w:t>
            </w:r>
          </w:p>
        </w:tc>
        <w:tc>
          <w:tcPr>
            <w:tcW w:w="2592" w:type="dxa"/>
          </w:tcPr>
          <w:p w:rsidR="00F72E76" w:rsidRDefault="00B231DB">
            <w:pPr>
              <w:spacing w:after="40" w:line="240" w:lineRule="auto"/>
              <w:jc w:val="center"/>
            </w:pPr>
            <w:r>
              <w:rPr>
                <w:rFonts w:cs="Times New Roman"/>
                <w:sz w:val="22"/>
              </w:rPr>
              <w:t>23K91A0509</w:t>
            </w:r>
          </w:p>
        </w:tc>
      </w:tr>
      <w:tr w:rsidR="00F72E76">
        <w:trPr>
          <w:cantSplit/>
          <w:jc w:val="center"/>
        </w:trPr>
        <w:tc>
          <w:tcPr>
            <w:tcW w:w="1008" w:type="dxa"/>
          </w:tcPr>
          <w:p w:rsidR="00F72E76" w:rsidRDefault="00B231DB">
            <w:pPr>
              <w:spacing w:after="40" w:line="240" w:lineRule="auto"/>
              <w:jc w:val="center"/>
            </w:pPr>
            <w:r>
              <w:rPr>
                <w:rFonts w:cs="Times New Roman"/>
                <w:sz w:val="22"/>
              </w:rPr>
              <w:t>2</w:t>
            </w:r>
          </w:p>
        </w:tc>
        <w:tc>
          <w:tcPr>
            <w:tcW w:w="4896" w:type="dxa"/>
          </w:tcPr>
          <w:p w:rsidR="00F72E76" w:rsidRDefault="00B231DB">
            <w:pPr>
              <w:spacing w:after="40" w:line="240" w:lineRule="auto"/>
              <w:jc w:val="left"/>
            </w:pPr>
            <w:r>
              <w:rPr>
                <w:rFonts w:cs="Times New Roman"/>
                <w:sz w:val="22"/>
              </w:rPr>
              <w:t>Bolleddu Shanker</w:t>
            </w:r>
          </w:p>
        </w:tc>
        <w:tc>
          <w:tcPr>
            <w:tcW w:w="2592" w:type="dxa"/>
          </w:tcPr>
          <w:p w:rsidR="00F72E76" w:rsidRDefault="00B231DB">
            <w:pPr>
              <w:spacing w:after="40" w:line="240" w:lineRule="auto"/>
              <w:jc w:val="center"/>
            </w:pPr>
            <w:r>
              <w:rPr>
                <w:rFonts w:cs="Times New Roman"/>
                <w:sz w:val="22"/>
              </w:rPr>
              <w:t>23K91A0543</w:t>
            </w:r>
          </w:p>
        </w:tc>
      </w:tr>
      <w:tr w:rsidR="00F72E76">
        <w:trPr>
          <w:cantSplit/>
          <w:jc w:val="center"/>
        </w:trPr>
        <w:tc>
          <w:tcPr>
            <w:tcW w:w="1008" w:type="dxa"/>
          </w:tcPr>
          <w:p w:rsidR="00F72E76" w:rsidRDefault="00B231DB">
            <w:pPr>
              <w:spacing w:after="40" w:line="240" w:lineRule="auto"/>
              <w:jc w:val="center"/>
            </w:pPr>
            <w:r>
              <w:rPr>
                <w:rFonts w:cs="Times New Roman"/>
                <w:sz w:val="22"/>
              </w:rPr>
              <w:t>3</w:t>
            </w:r>
          </w:p>
        </w:tc>
        <w:tc>
          <w:tcPr>
            <w:tcW w:w="4896" w:type="dxa"/>
          </w:tcPr>
          <w:p w:rsidR="00F72E76" w:rsidRDefault="00B231DB">
            <w:pPr>
              <w:spacing w:after="40" w:line="240" w:lineRule="auto"/>
              <w:jc w:val="left"/>
            </w:pPr>
            <w:r>
              <w:rPr>
                <w:rFonts w:cs="Times New Roman"/>
                <w:sz w:val="22"/>
              </w:rPr>
              <w:t>Agaram Sri Sarvagna</w:t>
            </w:r>
          </w:p>
        </w:tc>
        <w:tc>
          <w:tcPr>
            <w:tcW w:w="2592" w:type="dxa"/>
          </w:tcPr>
          <w:p w:rsidR="00F72E76" w:rsidRDefault="00B231DB">
            <w:pPr>
              <w:spacing w:after="40" w:line="240" w:lineRule="auto"/>
              <w:jc w:val="center"/>
            </w:pPr>
            <w:r>
              <w:rPr>
                <w:rFonts w:cs="Times New Roman"/>
                <w:sz w:val="22"/>
              </w:rPr>
              <w:t>23K91A0506</w:t>
            </w:r>
          </w:p>
        </w:tc>
      </w:tr>
      <w:tr w:rsidR="00F72E76">
        <w:trPr>
          <w:cantSplit/>
          <w:jc w:val="center"/>
        </w:trPr>
        <w:tc>
          <w:tcPr>
            <w:tcW w:w="1008" w:type="dxa"/>
          </w:tcPr>
          <w:p w:rsidR="00F72E76" w:rsidRDefault="00B231DB">
            <w:pPr>
              <w:spacing w:after="40" w:line="240" w:lineRule="auto"/>
              <w:jc w:val="center"/>
            </w:pPr>
            <w:r>
              <w:rPr>
                <w:rFonts w:cs="Times New Roman"/>
                <w:sz w:val="22"/>
              </w:rPr>
              <w:t>4</w:t>
            </w:r>
          </w:p>
        </w:tc>
        <w:tc>
          <w:tcPr>
            <w:tcW w:w="4896" w:type="dxa"/>
          </w:tcPr>
          <w:p w:rsidR="00F72E76" w:rsidRDefault="00B231DB">
            <w:pPr>
              <w:spacing w:after="40" w:line="240" w:lineRule="auto"/>
              <w:jc w:val="left"/>
            </w:pPr>
            <w:r>
              <w:rPr>
                <w:rFonts w:cs="Times New Roman"/>
                <w:sz w:val="22"/>
              </w:rPr>
              <w:t>B Akshay</w:t>
            </w:r>
          </w:p>
        </w:tc>
        <w:tc>
          <w:tcPr>
            <w:tcW w:w="2592" w:type="dxa"/>
          </w:tcPr>
          <w:p w:rsidR="00F72E76" w:rsidRDefault="00B231DB">
            <w:pPr>
              <w:spacing w:after="40" w:line="240" w:lineRule="auto"/>
              <w:jc w:val="center"/>
            </w:pPr>
            <w:r>
              <w:rPr>
                <w:rFonts w:cs="Times New Roman"/>
                <w:sz w:val="22"/>
              </w:rPr>
              <w:t>24K915A0504</w:t>
            </w:r>
          </w:p>
        </w:tc>
      </w:tr>
    </w:tbl>
    <w:p w:rsidR="00F72E76" w:rsidRDefault="00F72E76">
      <w:pPr>
        <w:spacing w:line="192" w:lineRule="auto"/>
      </w:pPr>
    </w:p>
    <w:p w:rsidR="00F72E76" w:rsidRDefault="00B231DB">
      <w:pPr>
        <w:spacing w:after="200"/>
        <w:jc w:val="center"/>
      </w:pPr>
      <w:r>
        <w:rPr>
          <w:rFonts w:cs="Times New Roman"/>
          <w:b/>
        </w:rPr>
        <w:t>Project guide:</w:t>
      </w:r>
      <w:r>
        <w:rPr>
          <w:rFonts w:cs="Times New Roman"/>
        </w:rPr>
        <w:t xml:space="preserve"> Rajalakshmi</w:t>
      </w:r>
    </w:p>
    <w:p w:rsidR="00F72E76" w:rsidRDefault="00B231DB">
      <w:r>
        <w:rPr>
          <w:rFonts w:cs="Times New Roman"/>
          <w:i/>
          <w:sz w:val="21"/>
        </w:rPr>
        <w:t>Chapter and section numbers quoted in the text (for example Chapter</w:t>
      </w:r>
      <w:r>
        <w:rPr>
          <w:rFonts w:cs="Times New Roman"/>
          <w:i/>
          <w:sz w:val="21"/>
        </w:rPr>
        <w:t xml:space="preserve"> 8 or Section 6.2) refer to the full project report, 17.Final Document. Figures and tables in this document are numbered from 1.</w:t>
      </w:r>
    </w:p>
    <w:p w:rsidR="00F72E76" w:rsidRDefault="00B231DB">
      <w:pPr>
        <w:pStyle w:val="Heading1"/>
      </w:pPr>
      <w:r>
        <w:t>1. INDEX OF DIAGRAMS</w:t>
      </w:r>
    </w:p>
    <w:p w:rsidR="00F72E76" w:rsidRDefault="00B231DB">
      <w:r>
        <w:rPr>
          <w:rFonts w:cs="Times New Roman"/>
        </w:rPr>
        <w:t xml:space="preserve">Every diagram was generated from the real design by </w:t>
      </w:r>
      <w:r>
        <w:rPr>
          <w:rFonts w:ascii="Consolas" w:eastAsia="Consolas" w:hAnsi="Consolas" w:cs="Consolas"/>
          <w:sz w:val="21"/>
        </w:rPr>
        <w:t>scripts/docs/make_diagrams.py</w:t>
      </w:r>
      <w:r>
        <w:rPr>
          <w:rFonts w:cs="Times New Roman"/>
        </w:rPr>
        <w:t xml:space="preserve"> (matplotlib, 150 dpi) and mirrors the code in </w:t>
      </w:r>
      <w:r>
        <w:rPr>
          <w:rFonts w:ascii="Consolas" w:eastAsia="Consolas" w:hAnsi="Consolas" w:cs="Consolas"/>
          <w:sz w:val="21"/>
        </w:rPr>
        <w:t>backend/app/</w:t>
      </w:r>
      <w:r>
        <w:rPr>
          <w:rFonts w:cs="Times New Roman"/>
        </w:rPr>
        <w:t xml:space="preserve"> (routes, services, database models). CipherVeil keeps three SQLite tables and writes the images of each operation to </w:t>
      </w:r>
      <w:r>
        <w:rPr>
          <w:rFonts w:ascii="Consolas" w:eastAsia="Consolas" w:hAnsi="Consolas" w:cs="Consolas"/>
          <w:sz w:val="21"/>
        </w:rPr>
        <w:t>data/outputs/</w:t>
      </w:r>
      <w:r>
        <w:rPr>
          <w:rFonts w:cs="Times New Roman"/>
        </w:rPr>
        <w:t>, so the entity-relationship diagram shows the tables and the file</w:t>
      </w:r>
      <w:r>
        <w:rPr>
          <w:rFonts w:cs="Times New Roman"/>
        </w:rPr>
        <w:t>s on disk.</w:t>
      </w:r>
    </w:p>
    <w:p w:rsidR="00F72E76" w:rsidRDefault="00B231D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700"/>
        <w:gridCol w:w="4007"/>
        <w:gridCol w:w="4175"/>
      </w:tblGrid>
      <w:tr w:rsidR="00F72E76">
        <w:trPr>
          <w:cantSplit/>
          <w:tblHeader/>
          <w:jc w:val="center"/>
        </w:trPr>
        <w:tc>
          <w:tcPr>
            <w:tcW w:w="720" w:type="dxa"/>
            <w:shd w:val="clear" w:color="auto" w:fill="1B2A41"/>
          </w:tcPr>
          <w:p w:rsidR="00F72E76" w:rsidRDefault="00B231DB">
            <w:pPr>
              <w:spacing w:after="40" w:line="240" w:lineRule="auto"/>
              <w:jc w:val="center"/>
            </w:pPr>
            <w:r>
              <w:rPr>
                <w:rFonts w:cs="Times New Roman"/>
                <w:b/>
                <w:color w:val="FFFFFF"/>
                <w:sz w:val="21"/>
              </w:rPr>
              <w:t>No.</w:t>
            </w:r>
          </w:p>
        </w:tc>
        <w:tc>
          <w:tcPr>
            <w:tcW w:w="4320" w:type="dxa"/>
            <w:shd w:val="clear" w:color="auto" w:fill="1B2A41"/>
          </w:tcPr>
          <w:p w:rsidR="00F72E76" w:rsidRDefault="00B231DB">
            <w:pPr>
              <w:spacing w:after="40" w:line="240" w:lineRule="auto"/>
              <w:jc w:val="center"/>
            </w:pPr>
            <w:r>
              <w:rPr>
                <w:rFonts w:cs="Times New Roman"/>
                <w:b/>
                <w:color w:val="FFFFFF"/>
                <w:sz w:val="21"/>
              </w:rPr>
              <w:t>Diagram</w:t>
            </w:r>
          </w:p>
        </w:tc>
        <w:tc>
          <w:tcPr>
            <w:tcW w:w="4032" w:type="dxa"/>
            <w:shd w:val="clear" w:color="auto" w:fill="1B2A41"/>
          </w:tcPr>
          <w:p w:rsidR="00F72E76" w:rsidRDefault="00B231DB">
            <w:pPr>
              <w:spacing w:after="40" w:line="240" w:lineRule="auto"/>
              <w:jc w:val="center"/>
            </w:pPr>
            <w:r>
              <w:rPr>
                <w:rFonts w:cs="Times New Roman"/>
                <w:b/>
                <w:color w:val="FFFFFF"/>
                <w:sz w:val="21"/>
              </w:rPr>
              <w:t>Image file</w:t>
            </w:r>
          </w:p>
        </w:tc>
      </w:tr>
      <w:tr w:rsidR="00F72E76">
        <w:trPr>
          <w:cantSplit/>
          <w:jc w:val="center"/>
        </w:trPr>
        <w:tc>
          <w:tcPr>
            <w:tcW w:w="720" w:type="dxa"/>
          </w:tcPr>
          <w:p w:rsidR="00F72E76" w:rsidRDefault="00B231DB">
            <w:pPr>
              <w:spacing w:after="40" w:line="240" w:lineRule="auto"/>
              <w:jc w:val="center"/>
            </w:pPr>
            <w:r>
              <w:rPr>
                <w:rFonts w:cs="Times New Roman"/>
                <w:sz w:val="21"/>
              </w:rPr>
              <w:t>1</w:t>
            </w:r>
          </w:p>
        </w:tc>
        <w:tc>
          <w:tcPr>
            <w:tcW w:w="4320" w:type="dxa"/>
          </w:tcPr>
          <w:p w:rsidR="00F72E76" w:rsidRDefault="00B231DB">
            <w:pPr>
              <w:spacing w:after="40" w:line="240" w:lineRule="auto"/>
              <w:jc w:val="left"/>
            </w:pPr>
            <w:r>
              <w:rPr>
                <w:rFonts w:cs="Times New Roman"/>
                <w:sz w:val="21"/>
              </w:rPr>
              <w:t>System architecture</w:t>
            </w:r>
          </w:p>
        </w:tc>
        <w:tc>
          <w:tcPr>
            <w:tcW w:w="4032" w:type="dxa"/>
          </w:tcPr>
          <w:p w:rsidR="00F72E76" w:rsidRDefault="00B231DB">
            <w:pPr>
              <w:spacing w:after="40" w:line="240" w:lineRule="auto"/>
              <w:jc w:val="left"/>
            </w:pPr>
            <w:r>
              <w:rPr>
                <w:rFonts w:ascii="Consolas" w:eastAsia="Consolas" w:hAnsi="Consolas" w:cs="Consolas"/>
                <w:sz w:val="18"/>
              </w:rPr>
              <w:t>docs/diagrams/01_system_architecture.png</w:t>
            </w:r>
          </w:p>
        </w:tc>
      </w:tr>
      <w:tr w:rsidR="00F72E76">
        <w:trPr>
          <w:cantSplit/>
          <w:jc w:val="center"/>
        </w:trPr>
        <w:tc>
          <w:tcPr>
            <w:tcW w:w="720" w:type="dxa"/>
          </w:tcPr>
          <w:p w:rsidR="00F72E76" w:rsidRDefault="00B231DB">
            <w:pPr>
              <w:spacing w:after="40" w:line="240" w:lineRule="auto"/>
              <w:jc w:val="center"/>
            </w:pPr>
            <w:r>
              <w:rPr>
                <w:rFonts w:cs="Times New Roman"/>
                <w:sz w:val="21"/>
              </w:rPr>
              <w:t>2</w:t>
            </w:r>
          </w:p>
        </w:tc>
        <w:tc>
          <w:tcPr>
            <w:tcW w:w="4320" w:type="dxa"/>
          </w:tcPr>
          <w:p w:rsidR="00F72E76" w:rsidRDefault="00B231DB">
            <w:pPr>
              <w:spacing w:after="40" w:line="240" w:lineRule="auto"/>
              <w:jc w:val="left"/>
            </w:pPr>
            <w:r>
              <w:rPr>
                <w:rFonts w:cs="Times New Roman"/>
                <w:sz w:val="21"/>
              </w:rPr>
              <w:t>High-level workflow</w:t>
            </w:r>
          </w:p>
        </w:tc>
        <w:tc>
          <w:tcPr>
            <w:tcW w:w="4032" w:type="dxa"/>
          </w:tcPr>
          <w:p w:rsidR="00F72E76" w:rsidRDefault="00B231DB">
            <w:pPr>
              <w:spacing w:after="40" w:line="240" w:lineRule="auto"/>
              <w:jc w:val="left"/>
            </w:pPr>
            <w:r>
              <w:rPr>
                <w:rFonts w:ascii="Consolas" w:eastAsia="Consolas" w:hAnsi="Consolas" w:cs="Consolas"/>
                <w:sz w:val="18"/>
              </w:rPr>
              <w:t>docs/diagrams/02_high_level_workflow.png</w:t>
            </w:r>
          </w:p>
        </w:tc>
      </w:tr>
      <w:tr w:rsidR="00F72E76">
        <w:trPr>
          <w:cantSplit/>
          <w:jc w:val="center"/>
        </w:trPr>
        <w:tc>
          <w:tcPr>
            <w:tcW w:w="720" w:type="dxa"/>
          </w:tcPr>
          <w:p w:rsidR="00F72E76" w:rsidRDefault="00B231DB">
            <w:pPr>
              <w:spacing w:after="40" w:line="240" w:lineRule="auto"/>
              <w:jc w:val="center"/>
            </w:pPr>
            <w:r>
              <w:rPr>
                <w:rFonts w:cs="Times New Roman"/>
                <w:sz w:val="21"/>
              </w:rPr>
              <w:t>3</w:t>
            </w:r>
          </w:p>
        </w:tc>
        <w:tc>
          <w:tcPr>
            <w:tcW w:w="4320" w:type="dxa"/>
          </w:tcPr>
          <w:p w:rsidR="00F72E76" w:rsidRDefault="00B231DB">
            <w:pPr>
              <w:spacing w:after="40" w:line="240" w:lineRule="auto"/>
              <w:jc w:val="left"/>
            </w:pPr>
            <w:r>
              <w:rPr>
                <w:rFonts w:cs="Times New Roman"/>
                <w:sz w:val="21"/>
              </w:rPr>
              <w:t>Data flow diagram, level 0</w:t>
            </w:r>
          </w:p>
        </w:tc>
        <w:tc>
          <w:tcPr>
            <w:tcW w:w="4032" w:type="dxa"/>
          </w:tcPr>
          <w:p w:rsidR="00F72E76" w:rsidRDefault="00B231DB">
            <w:pPr>
              <w:spacing w:after="40" w:line="240" w:lineRule="auto"/>
              <w:jc w:val="left"/>
            </w:pPr>
            <w:r>
              <w:rPr>
                <w:rFonts w:ascii="Consolas" w:eastAsia="Consolas" w:hAnsi="Consolas" w:cs="Consolas"/>
                <w:sz w:val="18"/>
              </w:rPr>
              <w:t>docs/diagrams/03_dfd_level0.png</w:t>
            </w:r>
          </w:p>
        </w:tc>
      </w:tr>
      <w:tr w:rsidR="00F72E76">
        <w:trPr>
          <w:cantSplit/>
          <w:jc w:val="center"/>
        </w:trPr>
        <w:tc>
          <w:tcPr>
            <w:tcW w:w="720" w:type="dxa"/>
          </w:tcPr>
          <w:p w:rsidR="00F72E76" w:rsidRDefault="00B231DB">
            <w:pPr>
              <w:spacing w:after="40" w:line="240" w:lineRule="auto"/>
              <w:jc w:val="center"/>
            </w:pPr>
            <w:r>
              <w:rPr>
                <w:rFonts w:cs="Times New Roman"/>
                <w:sz w:val="21"/>
              </w:rPr>
              <w:t>4</w:t>
            </w:r>
          </w:p>
        </w:tc>
        <w:tc>
          <w:tcPr>
            <w:tcW w:w="4320" w:type="dxa"/>
          </w:tcPr>
          <w:p w:rsidR="00F72E76" w:rsidRDefault="00B231DB">
            <w:pPr>
              <w:spacing w:after="40" w:line="240" w:lineRule="auto"/>
              <w:jc w:val="left"/>
            </w:pPr>
            <w:r>
              <w:rPr>
                <w:rFonts w:cs="Times New Roman"/>
                <w:sz w:val="21"/>
              </w:rPr>
              <w:t>Data flow diagram, level 1</w:t>
            </w:r>
          </w:p>
        </w:tc>
        <w:tc>
          <w:tcPr>
            <w:tcW w:w="4032" w:type="dxa"/>
          </w:tcPr>
          <w:p w:rsidR="00F72E76" w:rsidRDefault="00B231DB">
            <w:pPr>
              <w:spacing w:after="40" w:line="240" w:lineRule="auto"/>
              <w:jc w:val="left"/>
            </w:pPr>
            <w:r>
              <w:rPr>
                <w:rFonts w:ascii="Consolas" w:eastAsia="Consolas" w:hAnsi="Consolas" w:cs="Consolas"/>
                <w:sz w:val="18"/>
              </w:rPr>
              <w:t>docs/diagrams/04_dfd_level1.png</w:t>
            </w:r>
          </w:p>
        </w:tc>
      </w:tr>
      <w:tr w:rsidR="00F72E76">
        <w:trPr>
          <w:cantSplit/>
          <w:jc w:val="center"/>
        </w:trPr>
        <w:tc>
          <w:tcPr>
            <w:tcW w:w="720" w:type="dxa"/>
          </w:tcPr>
          <w:p w:rsidR="00F72E76" w:rsidRDefault="00B231DB">
            <w:pPr>
              <w:spacing w:after="40" w:line="240" w:lineRule="auto"/>
              <w:jc w:val="center"/>
            </w:pPr>
            <w:r>
              <w:rPr>
                <w:rFonts w:cs="Times New Roman"/>
                <w:sz w:val="21"/>
              </w:rPr>
              <w:t>5</w:t>
            </w:r>
          </w:p>
        </w:tc>
        <w:tc>
          <w:tcPr>
            <w:tcW w:w="4320" w:type="dxa"/>
          </w:tcPr>
          <w:p w:rsidR="00F72E76" w:rsidRDefault="00B231DB">
            <w:pPr>
              <w:spacing w:after="40" w:line="240" w:lineRule="auto"/>
              <w:jc w:val="left"/>
            </w:pPr>
            <w:r>
              <w:rPr>
                <w:rFonts w:cs="Times New Roman"/>
                <w:sz w:val="21"/>
              </w:rPr>
              <w:t>Data flow diagram, level 2</w:t>
            </w:r>
          </w:p>
        </w:tc>
        <w:tc>
          <w:tcPr>
            <w:tcW w:w="4032" w:type="dxa"/>
          </w:tcPr>
          <w:p w:rsidR="00F72E76" w:rsidRDefault="00B231DB">
            <w:pPr>
              <w:spacing w:after="40" w:line="240" w:lineRule="auto"/>
              <w:jc w:val="left"/>
            </w:pPr>
            <w:r>
              <w:rPr>
                <w:rFonts w:ascii="Consolas" w:eastAsia="Consolas" w:hAnsi="Consolas" w:cs="Consolas"/>
                <w:sz w:val="18"/>
              </w:rPr>
              <w:t>docs/diagrams/05_dfd_level2.png</w:t>
            </w:r>
          </w:p>
        </w:tc>
      </w:tr>
      <w:tr w:rsidR="00F72E76">
        <w:trPr>
          <w:cantSplit/>
          <w:jc w:val="center"/>
        </w:trPr>
        <w:tc>
          <w:tcPr>
            <w:tcW w:w="720" w:type="dxa"/>
          </w:tcPr>
          <w:p w:rsidR="00F72E76" w:rsidRDefault="00B231DB">
            <w:pPr>
              <w:spacing w:after="40" w:line="240" w:lineRule="auto"/>
              <w:jc w:val="center"/>
            </w:pPr>
            <w:r>
              <w:rPr>
                <w:rFonts w:cs="Times New Roman"/>
                <w:sz w:val="21"/>
              </w:rPr>
              <w:t>6</w:t>
            </w:r>
          </w:p>
        </w:tc>
        <w:tc>
          <w:tcPr>
            <w:tcW w:w="4320" w:type="dxa"/>
          </w:tcPr>
          <w:p w:rsidR="00F72E76" w:rsidRDefault="00B231DB">
            <w:pPr>
              <w:spacing w:after="40" w:line="240" w:lineRule="auto"/>
              <w:jc w:val="left"/>
            </w:pPr>
            <w:r>
              <w:rPr>
                <w:rFonts w:cs="Times New Roman"/>
                <w:sz w:val="21"/>
              </w:rPr>
              <w:t>UML class diagram</w:t>
            </w:r>
          </w:p>
        </w:tc>
        <w:tc>
          <w:tcPr>
            <w:tcW w:w="4032" w:type="dxa"/>
          </w:tcPr>
          <w:p w:rsidR="00F72E76" w:rsidRDefault="00B231DB">
            <w:pPr>
              <w:spacing w:after="40" w:line="240" w:lineRule="auto"/>
              <w:jc w:val="left"/>
            </w:pPr>
            <w:r>
              <w:rPr>
                <w:rFonts w:ascii="Consolas" w:eastAsia="Consolas" w:hAnsi="Consolas" w:cs="Consolas"/>
                <w:sz w:val="18"/>
              </w:rPr>
              <w:t>docs/diagrams/06_uml_class.png</w:t>
            </w:r>
          </w:p>
        </w:tc>
      </w:tr>
      <w:tr w:rsidR="00F72E76">
        <w:trPr>
          <w:cantSplit/>
          <w:jc w:val="center"/>
        </w:trPr>
        <w:tc>
          <w:tcPr>
            <w:tcW w:w="720" w:type="dxa"/>
          </w:tcPr>
          <w:p w:rsidR="00F72E76" w:rsidRDefault="00B231DB">
            <w:pPr>
              <w:spacing w:after="40" w:line="240" w:lineRule="auto"/>
              <w:jc w:val="center"/>
            </w:pPr>
            <w:r>
              <w:rPr>
                <w:rFonts w:cs="Times New Roman"/>
                <w:sz w:val="21"/>
              </w:rPr>
              <w:t>7</w:t>
            </w:r>
          </w:p>
        </w:tc>
        <w:tc>
          <w:tcPr>
            <w:tcW w:w="4320" w:type="dxa"/>
          </w:tcPr>
          <w:p w:rsidR="00F72E76" w:rsidRDefault="00B231DB">
            <w:pPr>
              <w:spacing w:after="40" w:line="240" w:lineRule="auto"/>
              <w:jc w:val="left"/>
            </w:pPr>
            <w:r>
              <w:rPr>
                <w:rFonts w:cs="Times New Roman"/>
                <w:sz w:val="21"/>
              </w:rPr>
              <w:t>Sequence diagram of the main flow</w:t>
            </w:r>
          </w:p>
        </w:tc>
        <w:tc>
          <w:tcPr>
            <w:tcW w:w="4032" w:type="dxa"/>
          </w:tcPr>
          <w:p w:rsidR="00F72E76" w:rsidRDefault="00B231DB">
            <w:pPr>
              <w:spacing w:after="40" w:line="240" w:lineRule="auto"/>
              <w:jc w:val="left"/>
            </w:pPr>
            <w:r>
              <w:rPr>
                <w:rFonts w:ascii="Consolas" w:eastAsia="Consolas" w:hAnsi="Consolas" w:cs="Consolas"/>
                <w:sz w:val="18"/>
              </w:rPr>
              <w:t>docs/diagra</w:t>
            </w:r>
            <w:r>
              <w:rPr>
                <w:rFonts w:ascii="Consolas" w:eastAsia="Consolas" w:hAnsi="Consolas" w:cs="Consolas"/>
                <w:sz w:val="18"/>
              </w:rPr>
              <w:t>ms/07_sequence_flow.png</w:t>
            </w:r>
          </w:p>
        </w:tc>
      </w:tr>
      <w:tr w:rsidR="00F72E76">
        <w:trPr>
          <w:cantSplit/>
          <w:jc w:val="center"/>
        </w:trPr>
        <w:tc>
          <w:tcPr>
            <w:tcW w:w="720" w:type="dxa"/>
          </w:tcPr>
          <w:p w:rsidR="00F72E76" w:rsidRDefault="00B231DB">
            <w:pPr>
              <w:spacing w:after="40" w:line="240" w:lineRule="auto"/>
              <w:jc w:val="center"/>
            </w:pPr>
            <w:r>
              <w:rPr>
                <w:rFonts w:cs="Times New Roman"/>
                <w:sz w:val="21"/>
              </w:rPr>
              <w:t>8</w:t>
            </w:r>
          </w:p>
        </w:tc>
        <w:tc>
          <w:tcPr>
            <w:tcW w:w="4320" w:type="dxa"/>
          </w:tcPr>
          <w:p w:rsidR="00F72E76" w:rsidRDefault="00B231DB">
            <w:pPr>
              <w:spacing w:after="40" w:line="240" w:lineRule="auto"/>
              <w:jc w:val="left"/>
            </w:pPr>
            <w:r>
              <w:rPr>
                <w:rFonts w:cs="Times New Roman"/>
                <w:sz w:val="21"/>
              </w:rPr>
              <w:t>Use-case diagram</w:t>
            </w:r>
          </w:p>
        </w:tc>
        <w:tc>
          <w:tcPr>
            <w:tcW w:w="4032" w:type="dxa"/>
          </w:tcPr>
          <w:p w:rsidR="00F72E76" w:rsidRDefault="00B231DB">
            <w:pPr>
              <w:spacing w:after="40" w:line="240" w:lineRule="auto"/>
              <w:jc w:val="left"/>
            </w:pPr>
            <w:r>
              <w:rPr>
                <w:rFonts w:ascii="Consolas" w:eastAsia="Consolas" w:hAnsi="Consolas" w:cs="Consolas"/>
                <w:sz w:val="18"/>
              </w:rPr>
              <w:t>docs/diagrams/08_use_case.png</w:t>
            </w:r>
          </w:p>
        </w:tc>
      </w:tr>
      <w:tr w:rsidR="00F72E76">
        <w:trPr>
          <w:cantSplit/>
          <w:jc w:val="center"/>
        </w:trPr>
        <w:tc>
          <w:tcPr>
            <w:tcW w:w="720" w:type="dxa"/>
          </w:tcPr>
          <w:p w:rsidR="00F72E76" w:rsidRDefault="00B231DB">
            <w:pPr>
              <w:spacing w:after="40" w:line="240" w:lineRule="auto"/>
              <w:jc w:val="center"/>
            </w:pPr>
            <w:r>
              <w:rPr>
                <w:rFonts w:cs="Times New Roman"/>
                <w:sz w:val="21"/>
              </w:rPr>
              <w:lastRenderedPageBreak/>
              <w:t>9</w:t>
            </w:r>
          </w:p>
        </w:tc>
        <w:tc>
          <w:tcPr>
            <w:tcW w:w="4320" w:type="dxa"/>
          </w:tcPr>
          <w:p w:rsidR="00F72E76" w:rsidRDefault="00B231DB">
            <w:pPr>
              <w:spacing w:after="40" w:line="240" w:lineRule="auto"/>
              <w:jc w:val="left"/>
            </w:pPr>
            <w:r>
              <w:rPr>
                <w:rFonts w:cs="Times New Roman"/>
                <w:sz w:val="21"/>
              </w:rPr>
              <w:t>Entity-relationship diagram</w:t>
            </w:r>
          </w:p>
        </w:tc>
        <w:tc>
          <w:tcPr>
            <w:tcW w:w="4032" w:type="dxa"/>
          </w:tcPr>
          <w:p w:rsidR="00F72E76" w:rsidRDefault="00B231DB">
            <w:pPr>
              <w:spacing w:after="40" w:line="240" w:lineRule="auto"/>
              <w:jc w:val="left"/>
            </w:pPr>
            <w:r>
              <w:rPr>
                <w:rFonts w:ascii="Consolas" w:eastAsia="Consolas" w:hAnsi="Consolas" w:cs="Consolas"/>
                <w:sz w:val="18"/>
              </w:rPr>
              <w:t>docs/diagrams/09_er_diagram.png</w:t>
            </w:r>
          </w:p>
        </w:tc>
      </w:tr>
      <w:tr w:rsidR="00F72E76">
        <w:trPr>
          <w:cantSplit/>
          <w:jc w:val="center"/>
        </w:trPr>
        <w:tc>
          <w:tcPr>
            <w:tcW w:w="720" w:type="dxa"/>
          </w:tcPr>
          <w:p w:rsidR="00F72E76" w:rsidRDefault="00B231DB">
            <w:pPr>
              <w:spacing w:after="40" w:line="240" w:lineRule="auto"/>
              <w:jc w:val="center"/>
            </w:pPr>
            <w:r>
              <w:rPr>
                <w:rFonts w:cs="Times New Roman"/>
                <w:sz w:val="21"/>
              </w:rPr>
              <w:t>10</w:t>
            </w:r>
          </w:p>
        </w:tc>
        <w:tc>
          <w:tcPr>
            <w:tcW w:w="4320" w:type="dxa"/>
          </w:tcPr>
          <w:p w:rsidR="00F72E76" w:rsidRDefault="00B231DB">
            <w:pPr>
              <w:spacing w:after="40" w:line="240" w:lineRule="auto"/>
              <w:jc w:val="left"/>
            </w:pPr>
            <w:r>
              <w:rPr>
                <w:rFonts w:cs="Times New Roman"/>
                <w:sz w:val="21"/>
              </w:rPr>
              <w:t>Flowchart of the embedding and extraction algorithm</w:t>
            </w:r>
          </w:p>
        </w:tc>
        <w:tc>
          <w:tcPr>
            <w:tcW w:w="4032" w:type="dxa"/>
          </w:tcPr>
          <w:p w:rsidR="00F72E76" w:rsidRDefault="00B231DB">
            <w:pPr>
              <w:spacing w:after="40" w:line="240" w:lineRule="auto"/>
              <w:jc w:val="left"/>
            </w:pPr>
            <w:r>
              <w:rPr>
                <w:rFonts w:ascii="Consolas" w:eastAsia="Consolas" w:hAnsi="Consolas" w:cs="Consolas"/>
                <w:sz w:val="18"/>
              </w:rPr>
              <w:t>docs/diagrams/10_flowchart_algorithm.png</w:t>
            </w:r>
          </w:p>
        </w:tc>
      </w:tr>
      <w:tr w:rsidR="00F72E76">
        <w:trPr>
          <w:cantSplit/>
          <w:jc w:val="center"/>
        </w:trPr>
        <w:tc>
          <w:tcPr>
            <w:tcW w:w="720" w:type="dxa"/>
          </w:tcPr>
          <w:p w:rsidR="00F72E76" w:rsidRDefault="00B231DB">
            <w:pPr>
              <w:spacing w:after="40" w:line="240" w:lineRule="auto"/>
              <w:jc w:val="center"/>
            </w:pPr>
            <w:r>
              <w:rPr>
                <w:rFonts w:cs="Times New Roman"/>
                <w:sz w:val="21"/>
              </w:rPr>
              <w:t>11</w:t>
            </w:r>
          </w:p>
        </w:tc>
        <w:tc>
          <w:tcPr>
            <w:tcW w:w="4320" w:type="dxa"/>
          </w:tcPr>
          <w:p w:rsidR="00F72E76" w:rsidRDefault="00B231DB">
            <w:pPr>
              <w:spacing w:after="40" w:line="240" w:lineRule="auto"/>
              <w:jc w:val="left"/>
            </w:pPr>
            <w:r>
              <w:rPr>
                <w:rFonts w:cs="Times New Roman"/>
                <w:sz w:val="21"/>
              </w:rPr>
              <w:t xml:space="preserve">Bundle layout and </w:t>
            </w:r>
            <w:r>
              <w:rPr>
                <w:rFonts w:cs="Times New Roman"/>
                <w:sz w:val="21"/>
              </w:rPr>
              <w:t>bit embedding</w:t>
            </w:r>
          </w:p>
        </w:tc>
        <w:tc>
          <w:tcPr>
            <w:tcW w:w="4032" w:type="dxa"/>
          </w:tcPr>
          <w:p w:rsidR="00F72E76" w:rsidRDefault="00B231DB">
            <w:pPr>
              <w:spacing w:after="40" w:line="240" w:lineRule="auto"/>
              <w:jc w:val="left"/>
            </w:pPr>
            <w:r>
              <w:rPr>
                <w:rFonts w:ascii="Consolas" w:eastAsia="Consolas" w:hAnsi="Consolas" w:cs="Consolas"/>
                <w:sz w:val="18"/>
              </w:rPr>
              <w:t>docs/diagrams/11_bundle_layout.png</w:t>
            </w:r>
          </w:p>
        </w:tc>
      </w:tr>
    </w:tbl>
    <w:p w:rsidR="00F72E76" w:rsidRDefault="00F72E76">
      <w:pPr>
        <w:spacing w:line="192" w:lineRule="auto"/>
      </w:pPr>
    </w:p>
    <w:p w:rsidR="00F72E76" w:rsidRDefault="00B231DB">
      <w:pPr>
        <w:pStyle w:val="Heading1"/>
        <w:pageBreakBefore/>
      </w:pPr>
      <w:r>
        <w:lastRenderedPageBreak/>
        <w:t>2. DIAGRAMS</w:t>
      </w:r>
    </w:p>
    <w:p w:rsidR="00F72E76" w:rsidRDefault="00B231DB">
      <w:pPr>
        <w:pStyle w:val="Heading2"/>
      </w:pPr>
      <w:r>
        <w:t>System architecture</w:t>
      </w:r>
    </w:p>
    <w:p w:rsidR="00F72E76" w:rsidRDefault="00B231DB">
      <w:pPr>
        <w:keepNext/>
        <w:spacing w:after="80" w:line="240" w:lineRule="auto"/>
        <w:jc w:val="center"/>
      </w:pPr>
      <w:r>
        <w:rPr>
          <w:noProof/>
        </w:rPr>
        <w:drawing>
          <wp:inline distT="0" distB="0" distL="0" distR="0">
            <wp:extent cx="5120640" cy="3893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120640" cy="3893820"/>
                    </a:xfrm>
                    <a:prstGeom prst="rect">
                      <a:avLst/>
                    </a:prstGeom>
                  </pic:spPr>
                </pic:pic>
              </a:graphicData>
            </a:graphic>
          </wp:inline>
        </w:drawing>
      </w:r>
    </w:p>
    <w:p w:rsidR="00F72E76" w:rsidRDefault="00B231D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CipherVeil: React console, FastAPI application with 24 routes, service layer of seven modules, and SQLite plus</w:t>
      </w:r>
      <w:r>
        <w:rPr>
          <w:rFonts w:cs="Times New Roman"/>
        </w:rPr>
        <w:t xml:space="preserve"> files.</w:t>
      </w:r>
    </w:p>
    <w:p w:rsidR="00F72E76" w:rsidRDefault="00B231DB">
      <w:r>
        <w:rPr>
          <w:rFonts w:cs="Times New Roman"/>
        </w:rPr>
        <w:t>The presentation tier is the React console on port 5315; its axios client sends a JWT with every call and Vite proxies /api to the backend. The FastAPI tier on port 8315 exposes 24 routes in five routers: authentication and health, keys, samples, s</w:t>
      </w:r>
      <w:r>
        <w:rPr>
          <w:rFonts w:cs="Times New Roman"/>
        </w:rPr>
        <w:t xml:space="preserve">end and receive, and analysis. All but register, login and health depend on current_user(). Below it, seven pure-function modules do the work: crypto, lsb, metrics, pipeline, plots, robustness and benchmark. Persistence is a SQLite file with three tables, </w:t>
      </w:r>
      <w:r>
        <w:rPr>
          <w:rFonts w:cs="Times New Roman"/>
        </w:rPr>
        <w:t>plus plain files for the sample covers, the sample payloads and the per-operation outputs.</w:t>
      </w:r>
    </w:p>
    <w:p w:rsidR="00F72E76" w:rsidRDefault="00B231DB">
      <w:pPr>
        <w:pStyle w:val="Heading2"/>
      </w:pPr>
      <w:r>
        <w:lastRenderedPageBreak/>
        <w:t>High-level workflow</w:t>
      </w:r>
    </w:p>
    <w:p w:rsidR="00F72E76" w:rsidRDefault="00B231DB">
      <w:pPr>
        <w:keepNext/>
        <w:spacing w:after="80" w:line="240" w:lineRule="auto"/>
        <w:jc w:val="center"/>
      </w:pPr>
      <w:r>
        <w:rPr>
          <w:noProof/>
        </w:rPr>
        <w:drawing>
          <wp:inline distT="0" distB="0" distL="0" distR="0">
            <wp:extent cx="4572000" cy="3359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572000" cy="3359020"/>
                    </a:xfrm>
                    <a:prstGeom prst="rect">
                      <a:avLst/>
                    </a:prstGeom>
                  </pic:spPr>
                </pic:pic>
              </a:graphicData>
            </a:graphic>
          </wp:inline>
        </w:drawing>
      </w:r>
    </w:p>
    <w:p w:rsidR="00F72E76" w:rsidRDefault="00B231D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Sender lane, lossless hand-over of the stego PNG, receiver lane, and the analysis tools that read the stored</w:t>
      </w:r>
      <w:r>
        <w:rPr>
          <w:rFonts w:cs="Times New Roman"/>
        </w:rPr>
        <w:t xml:space="preserve"> operation.</w:t>
      </w:r>
    </w:p>
    <w:p w:rsidR="00F72E76" w:rsidRDefault="00B231DB">
      <w:r>
        <w:rPr>
          <w:rFonts w:cs="Times New Roman"/>
        </w:rPr>
        <w:t>Lane A is the Send page: choose the receiver's public key, a file and a cover image, encrypt with AES-256-GCM, wrap the session key with RSA-OAEP, check capacity, embed one bit per colour value, and return a PNG with its PSNR, SSIM and file has</w:t>
      </w:r>
      <w:r>
        <w:rPr>
          <w:rFonts w:cs="Times New Roman"/>
        </w:rPr>
        <w:t>h. The PNG then travels outside the system over any lossless channel. Lane B is the Receive page: read the 32-bit length and the bundle bits, unwrap the key, decrypt with tag verification, and compare SHA-256 values. Analysis, robustness, benchmark and log</w:t>
      </w:r>
      <w:r>
        <w:rPr>
          <w:rFonts w:cs="Times New Roman"/>
        </w:rPr>
        <w:t xml:space="preserve"> pages read the cover and stego pair and the oplog rows written by lane A.</w:t>
      </w:r>
    </w:p>
    <w:p w:rsidR="00F72E76" w:rsidRDefault="00B231DB">
      <w:pPr>
        <w:pStyle w:val="Heading2"/>
      </w:pPr>
      <w:r>
        <w:lastRenderedPageBreak/>
        <w:t>Data flow diagram, level 0</w:t>
      </w:r>
    </w:p>
    <w:p w:rsidR="00F72E76" w:rsidRDefault="00B231DB">
      <w:pPr>
        <w:keepNext/>
        <w:spacing w:after="80" w:line="240" w:lineRule="auto"/>
        <w:jc w:val="center"/>
      </w:pPr>
      <w:r>
        <w:rPr>
          <w:noProof/>
        </w:rPr>
        <w:drawing>
          <wp:inline distT="0" distB="0" distL="0" distR="0">
            <wp:extent cx="5120640" cy="34508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120640" cy="3450866"/>
                    </a:xfrm>
                    <a:prstGeom prst="rect">
                      <a:avLst/>
                    </a:prstGeom>
                  </pic:spPr>
                </pic:pic>
              </a:graphicData>
            </a:graphic>
          </wp:inline>
        </w:drawing>
      </w:r>
    </w:p>
    <w:p w:rsidR="00F72E76" w:rsidRDefault="00B231D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one process, the sender and receiver roles, the read-only sample library, and the eval</w:t>
      </w:r>
      <w:r>
        <w:rPr>
          <w:rFonts w:cs="Times New Roman"/>
        </w:rPr>
        <w:t>uator or developer.</w:t>
      </w:r>
    </w:p>
    <w:p w:rsidR="00F72E76" w:rsidRDefault="00B231DB">
      <w:r>
        <w:rPr>
          <w:rFonts w:cs="Times New Roman"/>
        </w:rPr>
        <w:t xml:space="preserve">At level 0 the whole product is a single process. The sender supplies credentials, a key choice, a file and a cover image and receives the stego PNG, its PSNR and SSIM and the SHA-256 of the file. The receiver supplies credentials, the </w:t>
      </w:r>
      <w:r>
        <w:rPr>
          <w:rFonts w:cs="Times New Roman"/>
        </w:rPr>
        <w:t>private key and the stego PNG and receives the restored file, both hash values and a verdict. The sample library of six covers and four payloads is read-only data that ships with the product. The evaluator or developer runs ml/eval.py, the tests and run_ex</w:t>
      </w:r>
      <w:r>
        <w:rPr>
          <w:rFonts w:cs="Times New Roman"/>
        </w:rPr>
        <w:t>periments.py and receives metrics files, test results and screenshots.</w:t>
      </w:r>
    </w:p>
    <w:p w:rsidR="00F72E76" w:rsidRDefault="00B231DB">
      <w:pPr>
        <w:pStyle w:val="Heading2"/>
      </w:pPr>
      <w:r>
        <w:lastRenderedPageBreak/>
        <w:t>Data flow diagram, level 1</w:t>
      </w:r>
    </w:p>
    <w:p w:rsidR="00F72E76" w:rsidRDefault="00B231DB">
      <w:pPr>
        <w:keepNext/>
        <w:spacing w:after="80" w:line="240" w:lineRule="auto"/>
        <w:jc w:val="center"/>
      </w:pPr>
      <w:r>
        <w:rPr>
          <w:noProof/>
        </w:rPr>
        <w:drawing>
          <wp:inline distT="0" distB="0" distL="0" distR="0">
            <wp:extent cx="5120640" cy="48134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120640" cy="4813402"/>
                    </a:xfrm>
                    <a:prstGeom prst="rect">
                      <a:avLst/>
                    </a:prstGeom>
                  </pic:spPr>
                </pic:pic>
              </a:graphicData>
            </a:graphic>
          </wp:inline>
        </w:drawing>
      </w:r>
    </w:p>
    <w:p w:rsidR="00F72E76" w:rsidRDefault="00B231D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six functional processes, a logging process, and five data stores (users, keypairs, outputs, oplog, samples)</w:t>
      </w:r>
      <w:r>
        <w:rPr>
          <w:rFonts w:cs="Times New Roman"/>
        </w:rPr>
        <w:t>.</w:t>
      </w:r>
    </w:p>
    <w:p w:rsidR="00F72E76" w:rsidRDefault="00B231DB">
      <w:r>
        <w:rPr>
          <w:rFonts w:cs="Times New Roman"/>
        </w:rPr>
        <w:t xml:space="preserve">Level 1 splits the platform into seven processes. Process 1.0 authenticates against D1 users. Process 2.0 manages key pairs in D2. Process 3.0 reads a public key from D2 and a sample from D5, and writes cover.png and stego.png into D4. Process 4.0 reads </w:t>
      </w:r>
      <w:r>
        <w:rPr>
          <w:rFonts w:cs="Times New Roman"/>
        </w:rPr>
        <w:t>a private key and writes restored.bin. Process 5.0 reads the cover and stego pair to compute metrics and plots. Process 6.0 reads the stego image and writes robustness.json. Every process hands an event record to process 7.0, which appends a row to D3 oplo</w:t>
      </w:r>
      <w:r>
        <w:rPr>
          <w:rFonts w:cs="Times New Roman"/>
        </w:rPr>
        <w:t>g without any key or file content.</w:t>
      </w:r>
    </w:p>
    <w:p w:rsidR="00F72E76" w:rsidRDefault="00B231DB">
      <w:pPr>
        <w:pStyle w:val="Heading2"/>
      </w:pPr>
      <w:r>
        <w:lastRenderedPageBreak/>
        <w:t>Data flow diagram, level 2</w:t>
      </w:r>
    </w:p>
    <w:p w:rsidR="00F72E76" w:rsidRDefault="00B231DB">
      <w:pPr>
        <w:keepNext/>
        <w:spacing w:after="80" w:line="240" w:lineRule="auto"/>
        <w:jc w:val="center"/>
      </w:pPr>
      <w:r>
        <w:rPr>
          <w:noProof/>
        </w:rPr>
        <w:drawing>
          <wp:inline distT="0" distB="0" distL="0" distR="0">
            <wp:extent cx="5120640" cy="3482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120640" cy="3482035"/>
                    </a:xfrm>
                    <a:prstGeom prst="rect">
                      <a:avLst/>
                    </a:prstGeom>
                  </pic:spPr>
                </pic:pic>
              </a:graphicData>
            </a:graphic>
          </wp:inline>
        </w:drawing>
      </w:r>
    </w:p>
    <w:p w:rsidR="00F72E76" w:rsidRDefault="00B231D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process 3.0 (encrypt and hide) expanded into seven sub-processes.</w:t>
      </w:r>
    </w:p>
    <w:p w:rsidR="00F72E76" w:rsidRDefault="00B231DB">
      <w:r>
        <w:rPr>
          <w:rFonts w:cs="Times New Roman"/>
        </w:rPr>
        <w:t>Level 2 follows one send request. Process 3.1 validates the inputs: the key mu</w:t>
      </w:r>
      <w:r>
        <w:rPr>
          <w:rFonts w:cs="Times New Roman"/>
        </w:rPr>
        <w:t>st belong to the user, the file must be non-empty and below 25 MB, and the cover must decode to RGB. Process 3.2 builds the header and encrypts it with the file under AES-256-GCM, and process 3.3 wraps the session key with RSA-OAEP. Process 3.4 assembles t</w:t>
      </w:r>
      <w:r>
        <w:rPr>
          <w:rFonts w:cs="Times New Roman"/>
        </w:rPr>
        <w:t>he CVL1 bundle. Process 3.5 refuses a bundle larger than the capacity and otherwise embeds it. Process 3.6 encodes the PNG and measures PSNR, SSIM and MSE, and process 3.7 stores the images and writes the oplog row.</w:t>
      </w:r>
    </w:p>
    <w:p w:rsidR="00F72E76" w:rsidRDefault="00B231DB">
      <w:pPr>
        <w:pStyle w:val="Heading2"/>
      </w:pPr>
      <w:r>
        <w:lastRenderedPageBreak/>
        <w:t>UML class diagram</w:t>
      </w:r>
    </w:p>
    <w:p w:rsidR="00F72E76" w:rsidRDefault="00B231DB">
      <w:pPr>
        <w:keepNext/>
        <w:spacing w:after="80" w:line="240" w:lineRule="auto"/>
        <w:jc w:val="center"/>
      </w:pPr>
      <w:r>
        <w:rPr>
          <w:noProof/>
        </w:rPr>
        <w:drawing>
          <wp:inline distT="0" distB="0" distL="0" distR="0">
            <wp:extent cx="5120640" cy="42169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120640" cy="4216998"/>
                    </a:xfrm>
                    <a:prstGeom prst="rect">
                      <a:avLst/>
                    </a:prstGeom>
                  </pic:spPr>
                </pic:pic>
              </a:graphicData>
            </a:graphic>
          </wp:inline>
        </w:drawing>
      </w:r>
    </w:p>
    <w:p w:rsidR="00F72E76" w:rsidRDefault="00B231DB">
      <w:pPr>
        <w:pStyle w:val="Caption"/>
      </w:pPr>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three SQLAlchemy tables, the service modules shown as classes with static functions, the five routers and the two exception classes.</w:t>
      </w:r>
    </w:p>
    <w:p w:rsidR="00F72E76" w:rsidRDefault="00B231DB">
      <w:r>
        <w:rPr>
          <w:rFonts w:cs="Times New Roman"/>
        </w:rPr>
        <w:t>User owns many KeyPair rows and performs many OpLog rows. The crypto module holds the</w:t>
      </w:r>
      <w:r>
        <w:rPr>
          <w:rFonts w:cs="Times New Roman"/>
        </w:rPr>
        <w:t xml:space="preserve"> CVL1 magic and the allowed key sizes and builds and parses bundles; lsb loads images, computes capacity and embeds or extracts bits; metrics returns PSNR, SSIM, MSE and the largest change. The pipeline module composes the three in hide() and reveal(). The</w:t>
      </w:r>
      <w:r>
        <w:rPr>
          <w:rFonts w:cs="Times New Roman"/>
        </w:rPr>
        <w:t xml:space="preserve"> robustness module reuses crypto and lsb to attack a stego image and test decryption, and benchmark reuses pipeline. The routers depend on the ORM session and on these modules, and map CryptoError and StegoError to HTTP 400.</w:t>
      </w:r>
    </w:p>
    <w:p w:rsidR="00F72E76" w:rsidRDefault="00B231DB">
      <w:pPr>
        <w:pStyle w:val="Heading2"/>
      </w:pPr>
      <w:r>
        <w:lastRenderedPageBreak/>
        <w:t xml:space="preserve">Sequence diagram of the main </w:t>
      </w:r>
      <w:r>
        <w:t>flow</w:t>
      </w:r>
    </w:p>
    <w:p w:rsidR="00F72E76" w:rsidRDefault="00B231DB">
      <w:pPr>
        <w:keepNext/>
        <w:spacing w:after="80" w:line="240" w:lineRule="auto"/>
        <w:jc w:val="center"/>
      </w:pPr>
      <w:r>
        <w:rPr>
          <w:noProof/>
        </w:rPr>
        <w:drawing>
          <wp:inline distT="0" distB="0" distL="0" distR="0">
            <wp:extent cx="4572000" cy="4846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572000" cy="4846320"/>
                    </a:xfrm>
                    <a:prstGeom prst="rect">
                      <a:avLst/>
                    </a:prstGeom>
                  </pic:spPr>
                </pic:pic>
              </a:graphicData>
            </a:graphic>
          </wp:inline>
        </w:drawing>
      </w:r>
    </w:p>
    <w:p w:rsidR="00F72E76" w:rsidRDefault="00B231D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sending a file (part A) and receiving it (part B), from the browser through the routes to the services and the database.</w:t>
      </w:r>
    </w:p>
    <w:p w:rsidR="00F72E76" w:rsidRDefault="00B231DB">
      <w:r>
        <w:rPr>
          <w:rFonts w:cs="Times New Roman"/>
        </w:rPr>
        <w:t xml:space="preserve">Part A starts when the user presses Encrypt and hide. The console posts a </w:t>
      </w:r>
      <w:r>
        <w:rPr>
          <w:rFonts w:cs="Times New Roman"/>
        </w:rPr>
        <w:t xml:space="preserve">multipart request with the JWT; the route checks the token and the key, calls pipeline.hide, which asks crypto to encrypt and wrap, then lsb to embed and encode the PNG and metrics to measure quality. The route then writes the oplog row and the two images </w:t>
      </w:r>
      <w:r>
        <w:rPr>
          <w:rFonts w:cs="Times New Roman"/>
        </w:rPr>
        <w:t>and returns a JSON summary. Part B posts the stego image; reveal() extracts the bits, crypto verifies magic, key size, RSA unwrap, GCM tag and hash, and the route stores restored.bin, logs the receive and returns the hash comparison.</w:t>
      </w:r>
    </w:p>
    <w:p w:rsidR="00F72E76" w:rsidRDefault="00B231DB">
      <w:pPr>
        <w:pStyle w:val="Heading2"/>
      </w:pPr>
      <w:r>
        <w:lastRenderedPageBreak/>
        <w:t>Use-case diagram</w:t>
      </w:r>
    </w:p>
    <w:p w:rsidR="00F72E76" w:rsidRDefault="00B231DB">
      <w:pPr>
        <w:keepNext/>
        <w:spacing w:after="80" w:line="240" w:lineRule="auto"/>
        <w:jc w:val="center"/>
      </w:pPr>
      <w:r>
        <w:rPr>
          <w:noProof/>
        </w:rPr>
        <w:drawing>
          <wp:inline distT="0" distB="0" distL="0" distR="0">
            <wp:extent cx="4572000" cy="3474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474720"/>
                    </a:xfrm>
                    <a:prstGeom prst="rect">
                      <a:avLst/>
                    </a:prstGeom>
                  </pic:spPr>
                </pic:pic>
              </a:graphicData>
            </a:graphic>
          </wp:inline>
        </w:drawing>
      </w:r>
    </w:p>
    <w:p w:rsidR="00F72E76" w:rsidRDefault="00B231DB">
      <w:pPr>
        <w:pStyle w:val="Caption"/>
      </w:pPr>
      <w:r>
        <w:rPr>
          <w:rFonts w:cs="Times New Roman"/>
        </w:rPr>
        <w:t>Fig</w:t>
      </w:r>
      <w:r>
        <w:rPr>
          <w:rFonts w:cs="Times New Roman"/>
        </w:rPr>
        <w:t xml:space="preserve">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 cases of CipherVeil for the sender, the receiver and the evaluator, with the two include relations.</w:t>
      </w:r>
    </w:p>
    <w:p w:rsidR="00F72E76" w:rsidRDefault="00B231DB">
      <w:r>
        <w:rPr>
          <w:rFonts w:cs="Times New Roman"/>
        </w:rPr>
        <w:t>The sender and the receiver are roles of one signed-in user. Both register or sign in, generate RSA key pairs of 2048, 3</w:t>
      </w:r>
      <w:r>
        <w:rPr>
          <w:rFonts w:cs="Times New Roman"/>
        </w:rPr>
        <w:t>072 or 4096 bits, and import or export keys. The sender encrypts and hides a file, which includes the capacity check; the receiver extracts and decrypts, which includes verifying the GCM tag and the SHA-256 hash. Any user can view the PSNR, SSIM, histogram</w:t>
      </w:r>
      <w:r>
        <w:rPr>
          <w:rFonts w:cs="Times New Roman"/>
        </w:rPr>
        <w:t>s and bit planes, run the nine robustness attacks, run the capacity and speed benchmark and browse the operation log. The evaluator additionally runs the evaluation script and the tests from the command line.</w:t>
      </w:r>
    </w:p>
    <w:p w:rsidR="00F72E76" w:rsidRDefault="00B231DB">
      <w:pPr>
        <w:pStyle w:val="Heading2"/>
      </w:pPr>
      <w:r>
        <w:lastRenderedPageBreak/>
        <w:t>Entity-relationship diagram</w:t>
      </w:r>
    </w:p>
    <w:p w:rsidR="00F72E76" w:rsidRDefault="00B231DB">
      <w:pPr>
        <w:keepNext/>
        <w:spacing w:after="80" w:line="240" w:lineRule="auto"/>
        <w:jc w:val="center"/>
      </w:pPr>
      <w:r>
        <w:rPr>
          <w:noProof/>
        </w:rPr>
        <w:drawing>
          <wp:inline distT="0" distB="0" distL="0" distR="0">
            <wp:extent cx="5120640" cy="32772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120640" cy="3277210"/>
                    </a:xfrm>
                    <a:prstGeom prst="rect">
                      <a:avLst/>
                    </a:prstGeom>
                  </pic:spPr>
                </pic:pic>
              </a:graphicData>
            </a:graphic>
          </wp:inline>
        </w:drawing>
      </w:r>
    </w:p>
    <w:p w:rsidR="00F72E76" w:rsidRDefault="00B231DB">
      <w:pPr>
        <w:pStyle w:val="Caption"/>
      </w:pPr>
      <w:r>
        <w:rPr>
          <w:rFonts w:cs="Times New Roman"/>
        </w:rPr>
        <w:t xml:space="preserve">Figure </w:t>
      </w:r>
      <w:r>
        <w:rPr>
          <w:rFonts w:cs="Times New Roman"/>
        </w:rPr>
        <w:fldChar w:fldCharType="begin"/>
      </w:r>
      <w:r>
        <w:rPr>
          <w:rFonts w:cs="Times New Roman"/>
        </w:rPr>
        <w:instrText xml:space="preserve"> SEQ Figur</w:instrText>
      </w:r>
      <w:r>
        <w:rPr>
          <w:rFonts w:cs="Times New Roman"/>
        </w:rPr>
        <w:instrText xml:space="preserve">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SQLite database (users, keypairs, oplog) and of the per-operation output folder.</w:t>
      </w:r>
    </w:p>
    <w:p w:rsidR="00F72E76" w:rsidRDefault="00B231DB">
      <w:r>
        <w:rPr>
          <w:rFonts w:cs="Times New Roman"/>
        </w:rPr>
        <w:t>The database has three tables created by SQLAlchemy. A user has a unique username and a bcrypt hash. A user owns zero or m</w:t>
      </w:r>
      <w:r>
        <w:rPr>
          <w:rFonts w:cs="Times New Roman"/>
        </w:rPr>
        <w:t>ore keypairs, each with a name, size, fingerprint and PEM texts; private_pem is empty for public-only entries imported from a partner. A user performs zero or more oplog rows, each with an operation name, an ok flag and a JSON details field that holds size</w:t>
      </w:r>
      <w:r>
        <w:rPr>
          <w:rFonts w:cs="Times New Roman"/>
        </w:rPr>
        <w:t>s, timings, metrics and key fingerprints but never secrets. The key used by an operation is recorded inside details rather than by a foreign key. Each send or receive creates a folder named by its operation id on disk.</w:t>
      </w:r>
    </w:p>
    <w:p w:rsidR="00F72E76" w:rsidRDefault="00B231DB">
      <w:pPr>
        <w:pStyle w:val="Heading2"/>
      </w:pPr>
      <w:r>
        <w:lastRenderedPageBreak/>
        <w:t>Flowchart of the embedding and extrac</w:t>
      </w:r>
      <w:r>
        <w:t>tion algorithm</w:t>
      </w:r>
    </w:p>
    <w:p w:rsidR="00F72E76" w:rsidRDefault="00B231DB">
      <w:pPr>
        <w:keepNext/>
        <w:spacing w:after="80" w:line="240" w:lineRule="auto"/>
        <w:jc w:val="center"/>
      </w:pPr>
      <w:r>
        <w:rPr>
          <w:noProof/>
        </w:rPr>
        <w:drawing>
          <wp:inline distT="0" distB="0" distL="0" distR="0">
            <wp:extent cx="5120640" cy="6042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7"/>
                    <a:stretch>
                      <a:fillRect/>
                    </a:stretch>
                  </pic:blipFill>
                  <pic:spPr>
                    <a:xfrm>
                      <a:off x="0" y="0"/>
                      <a:ext cx="5120640" cy="6042355"/>
                    </a:xfrm>
                    <a:prstGeom prst="rect">
                      <a:avLst/>
                    </a:prstGeom>
                  </pic:spPr>
                </pic:pic>
              </a:graphicData>
            </a:graphic>
          </wp:inline>
        </w:drawing>
      </w:r>
    </w:p>
    <w:p w:rsidR="00F72E76" w:rsidRDefault="00B231D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embedding with the capacity check (left) and extraction with its four rejection tests (right).</w:t>
      </w:r>
    </w:p>
    <w:p w:rsidR="00F72E76" w:rsidRDefault="00B231DB">
      <w:r>
        <w:rPr>
          <w:rFonts w:cs="Times New Roman"/>
        </w:rPr>
        <w:t xml:space="preserve">Embedding builds the header, encrypts, wraps the key and assembles the bundle, then compares its </w:t>
      </w:r>
      <w:r>
        <w:rPr>
          <w:rFonts w:cs="Times New Roman"/>
        </w:rPr>
        <w:t xml:space="preserve">length with (height x width x 3 - 32) / 8. A larger bundle is rejected before any pixel is touched. Otherwise the 32-bit length and the bundle bits replace the lowest bit of consecutive colour values and the PNG is encoded. Extraction reads the length and </w:t>
      </w:r>
      <w:r>
        <w:rPr>
          <w:rFonts w:cs="Times New Roman"/>
        </w:rPr>
        <w:t>rejects zero or impossible values, then checks the magic and the wrapped-key size, unwraps the session key and verifies the GCM tag. Only when all tests pass is the header parsed and the SHA-256 of the restored file compared with the recorded hash.</w:t>
      </w:r>
    </w:p>
    <w:p w:rsidR="00F72E76" w:rsidRDefault="00B231DB">
      <w:pPr>
        <w:pStyle w:val="Heading2"/>
      </w:pPr>
      <w:r>
        <w:lastRenderedPageBreak/>
        <w:t xml:space="preserve">Bundle </w:t>
      </w:r>
      <w:r>
        <w:t>layout and bit embedding</w:t>
      </w:r>
    </w:p>
    <w:p w:rsidR="00F72E76" w:rsidRDefault="00B231DB">
      <w:pPr>
        <w:keepNext/>
        <w:spacing w:after="80" w:line="240" w:lineRule="auto"/>
        <w:jc w:val="center"/>
      </w:pPr>
      <w:r>
        <w:rPr>
          <w:noProof/>
        </w:rPr>
        <w:drawing>
          <wp:inline distT="0" distB="0" distL="0" distR="0">
            <wp:extent cx="5120640" cy="37892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undle_layout.png"/>
                    <pic:cNvPicPr/>
                  </pic:nvPicPr>
                  <pic:blipFill>
                    <a:blip r:embed="rId18"/>
                    <a:stretch>
                      <a:fillRect/>
                    </a:stretch>
                  </pic:blipFill>
                  <pic:spPr>
                    <a:xfrm>
                      <a:off x="0" y="0"/>
                      <a:ext cx="5120640" cy="3789274"/>
                    </a:xfrm>
                    <a:prstGeom prst="rect">
                      <a:avLst/>
                    </a:prstGeom>
                  </pic:spPr>
                </pic:pic>
              </a:graphicData>
            </a:graphic>
          </wp:inline>
        </w:drawing>
      </w:r>
    </w:p>
    <w:p w:rsidR="00F72E76" w:rsidRDefault="00B231D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Byte layout of the CVL1 bundle (top) and the way its bits, preceded by a 32-bit length, occupy the lowest bit of consecutive colour values (bottom).</w:t>
      </w:r>
    </w:p>
    <w:p w:rsidR="00F72E76" w:rsidRDefault="00B231DB">
      <w:r>
        <w:rPr>
          <w:rFonts w:cs="Times New Roman"/>
        </w:rPr>
        <w:t>The bundle starts with the four-byte magic C</w:t>
      </w:r>
      <w:r>
        <w:rPr>
          <w:rFonts w:cs="Times New Roman"/>
        </w:rPr>
        <w:t>VL1 and a two-byte length of the wrapped key, followed by the RSA-OAEP wrapped AES key (256, 384 or 512 bytes), a 12-byte nonce, and the AES-256-GCM ciphertext with its 16-byte tag. The encrypted part holds a two-byte header length, the JSON header with na</w:t>
      </w:r>
      <w:r>
        <w:rPr>
          <w:rFonts w:cs="Times New Roman"/>
        </w:rPr>
        <w:t>me, size and SHA-256, and the file. For hiding, the length of the bundle as 32 bits is written first, then the bundle bits, one per colour value from the top-left pixel in row order. Each value keeps its upper seven bits, so it changes by at most one.</w:t>
      </w:r>
    </w:p>
    <w:sectPr w:rsidR="00F72E76" w:rsidSect="00034616">
      <w:headerReference w:type="default" r:id="rId19"/>
      <w:footerReference w:type="default" r:id="rId2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231DB">
      <w:pPr>
        <w:spacing w:after="0" w:line="240" w:lineRule="auto"/>
      </w:pPr>
      <w:r>
        <w:separator/>
      </w:r>
    </w:p>
  </w:endnote>
  <w:endnote w:type="continuationSeparator" w:id="0">
    <w:p w:rsidR="00000000" w:rsidRDefault="00B23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2E76" w:rsidRDefault="00B231D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231DB">
      <w:pPr>
        <w:spacing w:after="0" w:line="240" w:lineRule="auto"/>
      </w:pPr>
      <w:r>
        <w:separator/>
      </w:r>
    </w:p>
  </w:footnote>
  <w:footnote w:type="continuationSeparator" w:id="0">
    <w:p w:rsidR="00000000" w:rsidRDefault="00B231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2E76" w:rsidRDefault="00B231DB">
    <w:pPr>
      <w:pStyle w:val="Header"/>
      <w:jc w:val="center"/>
    </w:pPr>
    <w:r>
      <w:rPr>
        <w:rFonts w:cs="Times New Roman"/>
        <w:i/>
        <w:color w:val="555555"/>
        <w:sz w:val="20"/>
      </w:rPr>
      <w:t>CipherVeil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31DB"/>
    <w:rsid w:val="00B47730"/>
    <w:rsid w:val="00CB0664"/>
    <w:rsid w:val="00F72E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A78A3E3-B8D4-490C-BA3D-ECB57B37A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B231DB"/>
    <w:pPr>
      <w:spacing w:after="0" w:line="240" w:lineRule="auto"/>
    </w:pPr>
    <w:rPr>
      <w:rFonts w:cs="Times New Roman"/>
      <w:sz w:val="21"/>
    </w:rPr>
  </w:style>
  <w:style w:type="paragraph" w:styleId="TOC2">
    <w:name w:val="toc 2"/>
    <w:basedOn w:val="Normal"/>
    <w:next w:val="Normal"/>
    <w:autoRedefine/>
    <w:uiPriority w:val="39"/>
    <w:semiHidden/>
    <w:unhideWhenUsed/>
    <w:rsid w:val="00B231DB"/>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B231DB"/>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8185FD-1ED6-4ECD-A04E-7880E46EB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1585</Words>
  <Characters>8248</Characters>
  <Application>Microsoft Office Word</Application>
  <DocSecurity>0</DocSecurity>
  <Lines>192</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2026-10-26T07:03:00Z</dcterms:modified>
  <cp:category/>
</cp:coreProperties>
</file>