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2C2E" w:rsidRDefault="00062C2E">
      <w:pPr>
        <w:spacing w:after="480" w:line="240" w:lineRule="auto"/>
      </w:pPr>
      <w:bookmarkStart w:id="0" w:name="_GoBack"/>
      <w:bookmarkEnd w:id="0"/>
    </w:p>
    <w:p w:rsidR="00062C2E" w:rsidRDefault="00D903DE">
      <w:pPr>
        <w:jc w:val="center"/>
      </w:pPr>
      <w:r>
        <w:rPr>
          <w:rFonts w:cs="Times New Roman"/>
          <w:b/>
          <w:sz w:val="36"/>
        </w:rPr>
        <w:t>AN EFFICIENT NOVEL APPROACH FOR PREDICTING STARTUP COMPANY SUCCESS RATES USING ADVANCED MACHINE LEARNING PARADIGMS</w:t>
      </w:r>
    </w:p>
    <w:p w:rsidR="00062C2E" w:rsidRDefault="00D903DE">
      <w:pPr>
        <w:spacing w:after="280"/>
        <w:jc w:val="center"/>
      </w:pPr>
      <w:r>
        <w:rPr>
          <w:rFonts w:cs="Times New Roman"/>
          <w:b/>
          <w:sz w:val="28"/>
        </w:rPr>
        <w:t>Conclusion, Future Scope and References</w:t>
      </w:r>
    </w:p>
    <w:p w:rsidR="00062C2E" w:rsidRDefault="00D903DE">
      <w:pPr>
        <w:spacing w:after="40"/>
        <w:jc w:val="center"/>
      </w:pPr>
      <w:r>
        <w:rPr>
          <w:rFonts w:cs="Times New Roman"/>
        </w:rPr>
        <w:t>Department of Computer Science and Engineering, [COLLEGE NAME]</w:t>
      </w:r>
    </w:p>
    <w:p w:rsidR="00062C2E" w:rsidRDefault="00D903DE">
      <w:pPr>
        <w:spacing w:after="240"/>
        <w:jc w:val="center"/>
      </w:pPr>
      <w:r>
        <w:rPr>
          <w:rFonts w:cs="Times New Roman"/>
        </w:rPr>
        <w:t xml:space="preserve">Batch C10 (CSE-C)  ·  Academic year </w:t>
      </w:r>
      <w:r>
        <w:rPr>
          <w:rFonts w:cs="Times New Roman"/>
        </w:rPr>
        <w:t>[ACADEMIC YEAR]</w:t>
      </w:r>
    </w:p>
    <w:p w:rsidR="00062C2E" w:rsidRDefault="00D903D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062C2E">
        <w:trPr>
          <w:cantSplit/>
          <w:tblHeader/>
          <w:jc w:val="center"/>
        </w:trPr>
        <w:tc>
          <w:tcPr>
            <w:tcW w:w="1008" w:type="dxa"/>
            <w:shd w:val="clear" w:color="auto" w:fill="1B2A41"/>
          </w:tcPr>
          <w:p w:rsidR="00062C2E" w:rsidRDefault="00D903DE">
            <w:pPr>
              <w:spacing w:after="40" w:line="240" w:lineRule="auto"/>
              <w:jc w:val="center"/>
            </w:pPr>
            <w:r>
              <w:rPr>
                <w:rFonts w:cs="Times New Roman"/>
                <w:b/>
                <w:color w:val="FFFFFF"/>
                <w:sz w:val="22"/>
              </w:rPr>
              <w:t>S.No.</w:t>
            </w:r>
          </w:p>
        </w:tc>
        <w:tc>
          <w:tcPr>
            <w:tcW w:w="4896" w:type="dxa"/>
            <w:shd w:val="clear" w:color="auto" w:fill="1B2A41"/>
          </w:tcPr>
          <w:p w:rsidR="00062C2E" w:rsidRDefault="00D903DE">
            <w:pPr>
              <w:spacing w:after="40" w:line="240" w:lineRule="auto"/>
              <w:jc w:val="center"/>
            </w:pPr>
            <w:r>
              <w:rPr>
                <w:rFonts w:cs="Times New Roman"/>
                <w:b/>
                <w:color w:val="FFFFFF"/>
                <w:sz w:val="22"/>
              </w:rPr>
              <w:t>Student name</w:t>
            </w:r>
          </w:p>
        </w:tc>
        <w:tc>
          <w:tcPr>
            <w:tcW w:w="2592" w:type="dxa"/>
            <w:shd w:val="clear" w:color="auto" w:fill="1B2A41"/>
          </w:tcPr>
          <w:p w:rsidR="00062C2E" w:rsidRDefault="00D903DE">
            <w:pPr>
              <w:spacing w:after="40" w:line="240" w:lineRule="auto"/>
              <w:jc w:val="center"/>
            </w:pPr>
            <w:r>
              <w:rPr>
                <w:rFonts w:cs="Times New Roman"/>
                <w:b/>
                <w:color w:val="FFFFFF"/>
                <w:sz w:val="22"/>
              </w:rPr>
              <w:t>Roll number</w:t>
            </w:r>
          </w:p>
        </w:tc>
      </w:tr>
      <w:tr w:rsidR="00062C2E">
        <w:trPr>
          <w:cantSplit/>
          <w:jc w:val="center"/>
        </w:trPr>
        <w:tc>
          <w:tcPr>
            <w:tcW w:w="1008" w:type="dxa"/>
          </w:tcPr>
          <w:p w:rsidR="00062C2E" w:rsidRDefault="00D903DE">
            <w:pPr>
              <w:spacing w:after="40" w:line="240" w:lineRule="auto"/>
              <w:jc w:val="center"/>
            </w:pPr>
            <w:r>
              <w:rPr>
                <w:rFonts w:cs="Times New Roman"/>
                <w:sz w:val="22"/>
              </w:rPr>
              <w:t>1</w:t>
            </w:r>
          </w:p>
        </w:tc>
        <w:tc>
          <w:tcPr>
            <w:tcW w:w="4896" w:type="dxa"/>
          </w:tcPr>
          <w:p w:rsidR="00062C2E" w:rsidRDefault="00D903DE">
            <w:pPr>
              <w:spacing w:after="40" w:line="240" w:lineRule="auto"/>
              <w:jc w:val="left"/>
            </w:pPr>
            <w:r>
              <w:rPr>
                <w:rFonts w:cs="Times New Roman"/>
                <w:sz w:val="22"/>
              </w:rPr>
              <w:t>Orchu Shirisha</w:t>
            </w:r>
          </w:p>
        </w:tc>
        <w:tc>
          <w:tcPr>
            <w:tcW w:w="2592" w:type="dxa"/>
          </w:tcPr>
          <w:p w:rsidR="00062C2E" w:rsidRDefault="00D903DE">
            <w:pPr>
              <w:spacing w:after="40" w:line="240" w:lineRule="auto"/>
              <w:jc w:val="center"/>
            </w:pPr>
            <w:r>
              <w:rPr>
                <w:rFonts w:cs="Times New Roman"/>
                <w:sz w:val="22"/>
              </w:rPr>
              <w:t>23K91A05H6</w:t>
            </w:r>
          </w:p>
        </w:tc>
      </w:tr>
      <w:tr w:rsidR="00062C2E">
        <w:trPr>
          <w:cantSplit/>
          <w:jc w:val="center"/>
        </w:trPr>
        <w:tc>
          <w:tcPr>
            <w:tcW w:w="1008" w:type="dxa"/>
          </w:tcPr>
          <w:p w:rsidR="00062C2E" w:rsidRDefault="00D903DE">
            <w:pPr>
              <w:spacing w:after="40" w:line="240" w:lineRule="auto"/>
              <w:jc w:val="center"/>
            </w:pPr>
            <w:r>
              <w:rPr>
                <w:rFonts w:cs="Times New Roman"/>
                <w:sz w:val="22"/>
              </w:rPr>
              <w:t>2</w:t>
            </w:r>
          </w:p>
        </w:tc>
        <w:tc>
          <w:tcPr>
            <w:tcW w:w="4896" w:type="dxa"/>
          </w:tcPr>
          <w:p w:rsidR="00062C2E" w:rsidRDefault="00D903DE">
            <w:pPr>
              <w:spacing w:after="40" w:line="240" w:lineRule="auto"/>
              <w:jc w:val="left"/>
            </w:pPr>
            <w:r>
              <w:rPr>
                <w:rFonts w:cs="Times New Roman"/>
                <w:sz w:val="22"/>
              </w:rPr>
              <w:t>Mudavath Raghavendar</w:t>
            </w:r>
          </w:p>
        </w:tc>
        <w:tc>
          <w:tcPr>
            <w:tcW w:w="2592" w:type="dxa"/>
          </w:tcPr>
          <w:p w:rsidR="00062C2E" w:rsidRDefault="00D903DE">
            <w:pPr>
              <w:spacing w:after="40" w:line="240" w:lineRule="auto"/>
              <w:jc w:val="center"/>
            </w:pPr>
            <w:r>
              <w:rPr>
                <w:rFonts w:cs="Times New Roman"/>
                <w:sz w:val="22"/>
              </w:rPr>
              <w:t>23K91A05G1</w:t>
            </w:r>
          </w:p>
        </w:tc>
      </w:tr>
      <w:tr w:rsidR="00062C2E">
        <w:trPr>
          <w:cantSplit/>
          <w:jc w:val="center"/>
        </w:trPr>
        <w:tc>
          <w:tcPr>
            <w:tcW w:w="1008" w:type="dxa"/>
          </w:tcPr>
          <w:p w:rsidR="00062C2E" w:rsidRDefault="00D903DE">
            <w:pPr>
              <w:spacing w:after="40" w:line="240" w:lineRule="auto"/>
              <w:jc w:val="center"/>
            </w:pPr>
            <w:r>
              <w:rPr>
                <w:rFonts w:cs="Times New Roman"/>
                <w:sz w:val="22"/>
              </w:rPr>
              <w:t>3</w:t>
            </w:r>
          </w:p>
        </w:tc>
        <w:tc>
          <w:tcPr>
            <w:tcW w:w="4896" w:type="dxa"/>
          </w:tcPr>
          <w:p w:rsidR="00062C2E" w:rsidRDefault="00D903DE">
            <w:pPr>
              <w:spacing w:after="40" w:line="240" w:lineRule="auto"/>
              <w:jc w:val="left"/>
            </w:pPr>
            <w:r>
              <w:rPr>
                <w:rFonts w:cs="Times New Roman"/>
                <w:sz w:val="22"/>
              </w:rPr>
              <w:t>Majgi Vaishnavi</w:t>
            </w:r>
          </w:p>
        </w:tc>
        <w:tc>
          <w:tcPr>
            <w:tcW w:w="2592" w:type="dxa"/>
          </w:tcPr>
          <w:p w:rsidR="00062C2E" w:rsidRDefault="00D903DE">
            <w:pPr>
              <w:spacing w:after="40" w:line="240" w:lineRule="auto"/>
              <w:jc w:val="center"/>
            </w:pPr>
            <w:r>
              <w:rPr>
                <w:rFonts w:cs="Times New Roman"/>
                <w:sz w:val="22"/>
              </w:rPr>
              <w:t>23K91A05E0</w:t>
            </w:r>
          </w:p>
        </w:tc>
      </w:tr>
      <w:tr w:rsidR="00062C2E">
        <w:trPr>
          <w:cantSplit/>
          <w:jc w:val="center"/>
        </w:trPr>
        <w:tc>
          <w:tcPr>
            <w:tcW w:w="1008" w:type="dxa"/>
          </w:tcPr>
          <w:p w:rsidR="00062C2E" w:rsidRDefault="00D903DE">
            <w:pPr>
              <w:spacing w:after="40" w:line="240" w:lineRule="auto"/>
              <w:jc w:val="center"/>
            </w:pPr>
            <w:r>
              <w:rPr>
                <w:rFonts w:cs="Times New Roman"/>
                <w:sz w:val="22"/>
              </w:rPr>
              <w:t>4</w:t>
            </w:r>
          </w:p>
        </w:tc>
        <w:tc>
          <w:tcPr>
            <w:tcW w:w="4896" w:type="dxa"/>
          </w:tcPr>
          <w:p w:rsidR="00062C2E" w:rsidRDefault="00D903DE">
            <w:pPr>
              <w:spacing w:after="40" w:line="240" w:lineRule="auto"/>
              <w:jc w:val="left"/>
            </w:pPr>
            <w:r>
              <w:rPr>
                <w:rFonts w:cs="Times New Roman"/>
                <w:sz w:val="22"/>
              </w:rPr>
              <w:t>Polishetty Poojitha</w:t>
            </w:r>
          </w:p>
        </w:tc>
        <w:tc>
          <w:tcPr>
            <w:tcW w:w="2592" w:type="dxa"/>
          </w:tcPr>
          <w:p w:rsidR="00062C2E" w:rsidRDefault="00D903DE">
            <w:pPr>
              <w:spacing w:after="40" w:line="240" w:lineRule="auto"/>
              <w:jc w:val="center"/>
            </w:pPr>
            <w:r>
              <w:rPr>
                <w:rFonts w:cs="Times New Roman"/>
                <w:sz w:val="22"/>
              </w:rPr>
              <w:t>23K91A05J4</w:t>
            </w:r>
          </w:p>
        </w:tc>
      </w:tr>
    </w:tbl>
    <w:p w:rsidR="00062C2E" w:rsidRDefault="00062C2E">
      <w:pPr>
        <w:spacing w:line="192" w:lineRule="auto"/>
      </w:pPr>
    </w:p>
    <w:p w:rsidR="00062C2E" w:rsidRDefault="00D903DE">
      <w:pPr>
        <w:spacing w:after="200"/>
        <w:jc w:val="center"/>
      </w:pPr>
      <w:r>
        <w:rPr>
          <w:rFonts w:cs="Times New Roman"/>
          <w:b/>
        </w:rPr>
        <w:t>Project guide:</w:t>
      </w:r>
      <w:r>
        <w:rPr>
          <w:rFonts w:cs="Times New Roman"/>
        </w:rPr>
        <w:t xml:space="preserve"> P Prasanna</w:t>
      </w:r>
    </w:p>
    <w:p w:rsidR="00062C2E" w:rsidRDefault="00D903DE">
      <w:r>
        <w:rPr>
          <w:rFonts w:cs="Times New Roman"/>
          <w:i/>
          <w:sz w:val="21"/>
        </w:rPr>
        <w:t>Chapter</w:t>
      </w:r>
      <w:r>
        <w:rPr>
          <w:rFonts w:cs="Times New Roman"/>
          <w:i/>
          <w:sz w:val="21"/>
        </w:rPr>
        <w:t xml:space="preserve"> and section numbers quoted in the text (for example Chapter 8 or Section 6.2) refer to the full project report, 17.Final Document. Figures and tables in this document are numbered from 1.</w:t>
      </w:r>
    </w:p>
    <w:p w:rsidR="00062C2E" w:rsidRDefault="00D903DE">
      <w:pPr>
        <w:pStyle w:val="Heading1"/>
      </w:pPr>
      <w:r>
        <w:t>1. CONCLUSION</w:t>
      </w:r>
    </w:p>
    <w:p w:rsidR="00062C2E" w:rsidRDefault="00D903DE">
      <w:pPr>
        <w:pStyle w:val="Heading2"/>
      </w:pPr>
      <w:r>
        <w:t>1.1 Summary</w:t>
      </w:r>
    </w:p>
    <w:p w:rsidR="00062C2E" w:rsidRDefault="00D903DE">
      <w:r>
        <w:rPr>
          <w:rFonts w:cs="Times New Roman"/>
        </w:rPr>
        <w:t xml:space="preserve">The project set out to predict, from </w:t>
      </w:r>
      <w:r>
        <w:rPr>
          <w:rFonts w:cs="Times New Roman"/>
        </w:rPr>
        <w:t>historical startup data, whether an early-stage company is more likely to succeed or fail, to compare the standard classifiers on that task and to name the factors behind each prediction. The system was built and works end to end as VenturePulse: it accept</w:t>
      </w:r>
      <w:r>
        <w:rPr>
          <w:rFonts w:cs="Times New Roman"/>
        </w:rPr>
        <w:t>s structured inputs and an optional description, returns a SUCCESS or FAILURE estimate with probabilities and a risk label, lists the main feature terms and shows the comparable historical startups that support the estimate.</w:t>
      </w:r>
    </w:p>
    <w:p w:rsidR="00062C2E" w:rsidRDefault="00D903DE">
      <w:r>
        <w:rPr>
          <w:rFonts w:cs="Times New Roman"/>
        </w:rPr>
        <w:t xml:space="preserve">The report measured the system </w:t>
      </w:r>
      <w:r>
        <w:rPr>
          <w:rFonts w:cs="Times New Roman"/>
        </w:rPr>
        <w:t xml:space="preserve">honestly. The model that the application serves was trained on a 1,400-row synthetic fallback and scores 0.749 balanced accuracy on it; that number is a pipeline check. On the real public table of 922 startups, under five repeated 80/20 splits, </w:t>
      </w:r>
      <w:r>
        <w:rPr>
          <w:rFonts w:cs="Times New Roman"/>
        </w:rPr>
        <w:lastRenderedPageBreak/>
        <w:t>Random Fore</w:t>
      </w:r>
      <w:r>
        <w:rPr>
          <w:rFonts w:cs="Times New Roman"/>
        </w:rPr>
        <w:t>st reaches a balanced accuracy of 0.746 ± 0.031 and a ROC-AUC of 0.816 ± 0.022, XGBoost 0.746 ± 0.026 and 0.806 ± 0.019, and Logistic Regression 0.709 ± 0.025 and 0.789 ± 0.017.</w:t>
      </w:r>
    </w:p>
    <w:p w:rsidR="00062C2E" w:rsidRDefault="00D903DE">
      <w:pPr>
        <w:pStyle w:val="Heading2"/>
      </w:pPr>
      <w:r>
        <w:t>1.2 Objectives achieved</w:t>
      </w:r>
    </w:p>
    <w:p w:rsidR="00062C2E" w:rsidRDefault="00D903D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The six objectives </w:t>
      </w:r>
      <w:r>
        <w:rPr>
          <w:rFonts w:cs="Times New Roman"/>
        </w:rPr>
        <w:t>and what was achieved</w:t>
      </w:r>
    </w:p>
    <w:tbl>
      <w:tblPr>
        <w:tblStyle w:val="TableGrid"/>
        <w:tblW w:w="0" w:type="auto"/>
        <w:jc w:val="center"/>
        <w:tblLook w:val="04A0" w:firstRow="1" w:lastRow="0" w:firstColumn="1" w:lastColumn="0" w:noHBand="0" w:noVBand="1"/>
      </w:tblPr>
      <w:tblGrid>
        <w:gridCol w:w="713"/>
        <w:gridCol w:w="3102"/>
        <w:gridCol w:w="5643"/>
      </w:tblGrid>
      <w:tr w:rsidR="00062C2E">
        <w:trPr>
          <w:cantSplit/>
          <w:tblHeader/>
          <w:jc w:val="center"/>
        </w:trPr>
        <w:tc>
          <w:tcPr>
            <w:tcW w:w="720" w:type="dxa"/>
            <w:shd w:val="clear" w:color="auto" w:fill="1B2A41"/>
          </w:tcPr>
          <w:p w:rsidR="00062C2E" w:rsidRDefault="00D903DE">
            <w:pPr>
              <w:spacing w:after="40" w:line="240" w:lineRule="auto"/>
              <w:jc w:val="center"/>
            </w:pPr>
            <w:r>
              <w:rPr>
                <w:rFonts w:cs="Times New Roman"/>
                <w:b/>
                <w:color w:val="FFFFFF"/>
                <w:sz w:val="19"/>
              </w:rPr>
              <w:t>No.</w:t>
            </w:r>
          </w:p>
        </w:tc>
        <w:tc>
          <w:tcPr>
            <w:tcW w:w="3168" w:type="dxa"/>
            <w:shd w:val="clear" w:color="auto" w:fill="1B2A41"/>
          </w:tcPr>
          <w:p w:rsidR="00062C2E" w:rsidRDefault="00D903DE">
            <w:pPr>
              <w:spacing w:after="40" w:line="240" w:lineRule="auto"/>
              <w:jc w:val="center"/>
            </w:pPr>
            <w:r>
              <w:rPr>
                <w:rFonts w:cs="Times New Roman"/>
                <w:b/>
                <w:color w:val="FFFFFF"/>
                <w:sz w:val="19"/>
              </w:rPr>
              <w:t>Objective</w:t>
            </w:r>
          </w:p>
        </w:tc>
        <w:tc>
          <w:tcPr>
            <w:tcW w:w="5760" w:type="dxa"/>
            <w:shd w:val="clear" w:color="auto" w:fill="1B2A41"/>
          </w:tcPr>
          <w:p w:rsidR="00062C2E" w:rsidRDefault="00D903DE">
            <w:pPr>
              <w:spacing w:after="40" w:line="240" w:lineRule="auto"/>
              <w:jc w:val="center"/>
            </w:pPr>
            <w:r>
              <w:rPr>
                <w:rFonts w:cs="Times New Roman"/>
                <w:b/>
                <w:color w:val="FFFFFF"/>
                <w:sz w:val="19"/>
              </w:rPr>
              <w:t>Outcome</w:t>
            </w:r>
          </w:p>
        </w:tc>
      </w:tr>
      <w:tr w:rsidR="00062C2E">
        <w:trPr>
          <w:cantSplit/>
          <w:jc w:val="center"/>
        </w:trPr>
        <w:tc>
          <w:tcPr>
            <w:tcW w:w="720" w:type="dxa"/>
          </w:tcPr>
          <w:p w:rsidR="00062C2E" w:rsidRDefault="00D903DE">
            <w:pPr>
              <w:spacing w:after="40" w:line="240" w:lineRule="auto"/>
              <w:jc w:val="center"/>
            </w:pPr>
            <w:r>
              <w:rPr>
                <w:rFonts w:cs="Times New Roman"/>
                <w:sz w:val="19"/>
              </w:rPr>
              <w:t>1</w:t>
            </w:r>
          </w:p>
        </w:tc>
        <w:tc>
          <w:tcPr>
            <w:tcW w:w="3168" w:type="dxa"/>
          </w:tcPr>
          <w:p w:rsidR="00062C2E" w:rsidRDefault="00D903DE">
            <w:pPr>
              <w:spacing w:after="40" w:line="240" w:lineRule="auto"/>
              <w:jc w:val="left"/>
            </w:pPr>
            <w:r>
              <w:rPr>
                <w:rFonts w:cs="Times New Roman"/>
                <w:sz w:val="19"/>
              </w:rPr>
              <w:t>Collect a startup dataset</w:t>
            </w:r>
          </w:p>
        </w:tc>
        <w:tc>
          <w:tcPr>
            <w:tcW w:w="5760" w:type="dxa"/>
          </w:tcPr>
          <w:p w:rsidR="00062C2E" w:rsidRDefault="00D903DE">
            <w:pPr>
              <w:spacing w:after="40" w:line="240" w:lineRule="auto"/>
              <w:jc w:val="left"/>
            </w:pPr>
            <w:r>
              <w:rPr>
                <w:rFonts w:cs="Times New Roman"/>
                <w:sz w:val="19"/>
              </w:rPr>
              <w:t>Partly: the real 922-row public table was obtained and analysed (funding, sector, location, outcome); team background is missing; the shipped app runs on a synthetic fallback of the s</w:t>
            </w:r>
            <w:r>
              <w:rPr>
                <w:rFonts w:cs="Times New Roman"/>
                <w:sz w:val="19"/>
              </w:rPr>
              <w:t>ame schema</w:t>
            </w:r>
          </w:p>
        </w:tc>
      </w:tr>
      <w:tr w:rsidR="00062C2E">
        <w:trPr>
          <w:cantSplit/>
          <w:jc w:val="center"/>
        </w:trPr>
        <w:tc>
          <w:tcPr>
            <w:tcW w:w="720" w:type="dxa"/>
          </w:tcPr>
          <w:p w:rsidR="00062C2E" w:rsidRDefault="00D903DE">
            <w:pPr>
              <w:spacing w:after="40" w:line="240" w:lineRule="auto"/>
              <w:jc w:val="center"/>
            </w:pPr>
            <w:r>
              <w:rPr>
                <w:rFonts w:cs="Times New Roman"/>
                <w:sz w:val="19"/>
              </w:rPr>
              <w:t>2</w:t>
            </w:r>
          </w:p>
        </w:tc>
        <w:tc>
          <w:tcPr>
            <w:tcW w:w="3168" w:type="dxa"/>
          </w:tcPr>
          <w:p w:rsidR="00062C2E" w:rsidRDefault="00D903DE">
            <w:pPr>
              <w:spacing w:after="40" w:line="240" w:lineRule="auto"/>
              <w:jc w:val="left"/>
            </w:pPr>
            <w:r>
              <w:rPr>
                <w:rFonts w:cs="Times New Roman"/>
                <w:sz w:val="19"/>
              </w:rPr>
              <w:t>Clean the data and engineer features</w:t>
            </w:r>
          </w:p>
        </w:tc>
        <w:tc>
          <w:tcPr>
            <w:tcW w:w="5760" w:type="dxa"/>
          </w:tcPr>
          <w:p w:rsidR="00062C2E" w:rsidRDefault="00D903DE">
            <w:pPr>
              <w:spacing w:after="40" w:line="240" w:lineRule="auto"/>
              <w:jc w:val="left"/>
            </w:pPr>
            <w:r>
              <w:rPr>
                <w:rFonts w:cs="Times New Roman"/>
                <w:sz w:val="19"/>
              </w:rPr>
              <w:t>Partly: cleaning, imputation, scaling, one-hot encoding and log funding done; funding velocity only approximated by ages and rounds; no team-experience or market-context feature exists</w:t>
            </w:r>
          </w:p>
        </w:tc>
      </w:tr>
      <w:tr w:rsidR="00062C2E">
        <w:trPr>
          <w:cantSplit/>
          <w:jc w:val="center"/>
        </w:trPr>
        <w:tc>
          <w:tcPr>
            <w:tcW w:w="720" w:type="dxa"/>
          </w:tcPr>
          <w:p w:rsidR="00062C2E" w:rsidRDefault="00D903DE">
            <w:pPr>
              <w:spacing w:after="40" w:line="240" w:lineRule="auto"/>
              <w:jc w:val="center"/>
            </w:pPr>
            <w:r>
              <w:rPr>
                <w:rFonts w:cs="Times New Roman"/>
                <w:sz w:val="19"/>
              </w:rPr>
              <w:t>3</w:t>
            </w:r>
          </w:p>
        </w:tc>
        <w:tc>
          <w:tcPr>
            <w:tcW w:w="3168" w:type="dxa"/>
          </w:tcPr>
          <w:p w:rsidR="00062C2E" w:rsidRDefault="00D903DE">
            <w:pPr>
              <w:spacing w:after="40" w:line="240" w:lineRule="auto"/>
              <w:jc w:val="left"/>
            </w:pPr>
            <w:r>
              <w:rPr>
                <w:rFonts w:cs="Times New Roman"/>
                <w:sz w:val="19"/>
              </w:rPr>
              <w:t xml:space="preserve">Address class </w:t>
            </w:r>
            <w:r>
              <w:rPr>
                <w:rFonts w:cs="Times New Roman"/>
                <w:sz w:val="19"/>
              </w:rPr>
              <w:t>imbalance</w:t>
            </w:r>
          </w:p>
        </w:tc>
        <w:tc>
          <w:tcPr>
            <w:tcW w:w="5760" w:type="dxa"/>
          </w:tcPr>
          <w:p w:rsidR="00062C2E" w:rsidRDefault="00D903DE">
            <w:pPr>
              <w:spacing w:after="40" w:line="240" w:lineRule="auto"/>
              <w:jc w:val="left"/>
            </w:pPr>
            <w:r>
              <w:rPr>
                <w:rFonts w:cs="Times New Roman"/>
                <w:sz w:val="19"/>
              </w:rPr>
              <w:t>Achieved: balanced class weights in the application and a comparison with oversampling on real data; no ROC-AUC gain, success is the majority class here</w:t>
            </w:r>
          </w:p>
        </w:tc>
      </w:tr>
      <w:tr w:rsidR="00062C2E">
        <w:trPr>
          <w:cantSplit/>
          <w:jc w:val="center"/>
        </w:trPr>
        <w:tc>
          <w:tcPr>
            <w:tcW w:w="720" w:type="dxa"/>
          </w:tcPr>
          <w:p w:rsidR="00062C2E" w:rsidRDefault="00D903DE">
            <w:pPr>
              <w:spacing w:after="40" w:line="240" w:lineRule="auto"/>
              <w:jc w:val="center"/>
            </w:pPr>
            <w:r>
              <w:rPr>
                <w:rFonts w:cs="Times New Roman"/>
                <w:sz w:val="19"/>
              </w:rPr>
              <w:t>4</w:t>
            </w:r>
          </w:p>
        </w:tc>
        <w:tc>
          <w:tcPr>
            <w:tcW w:w="3168" w:type="dxa"/>
          </w:tcPr>
          <w:p w:rsidR="00062C2E" w:rsidRDefault="00D903DE">
            <w:pPr>
              <w:spacing w:after="40" w:line="240" w:lineRule="auto"/>
              <w:jc w:val="left"/>
            </w:pPr>
            <w:r>
              <w:rPr>
                <w:rFonts w:cs="Times New Roman"/>
                <w:sz w:val="19"/>
              </w:rPr>
              <w:t>Train and compare LR, DT, RF and boosting</w:t>
            </w:r>
          </w:p>
        </w:tc>
        <w:tc>
          <w:tcPr>
            <w:tcW w:w="5760" w:type="dxa"/>
          </w:tcPr>
          <w:p w:rsidR="00062C2E" w:rsidRDefault="00D903DE">
            <w:pPr>
              <w:spacing w:after="40" w:line="240" w:lineRule="auto"/>
              <w:jc w:val="left"/>
            </w:pPr>
            <w:r>
              <w:rPr>
                <w:rFonts w:cs="Times New Roman"/>
                <w:sz w:val="19"/>
              </w:rPr>
              <w:t>Achieved: four models in the application and His</w:t>
            </w:r>
            <w:r>
              <w:rPr>
                <w:rFonts w:cs="Times New Roman"/>
                <w:sz w:val="19"/>
              </w:rPr>
              <w:t>tGradientBoosting in the study, under 5 x 80/20 splits</w:t>
            </w:r>
          </w:p>
        </w:tc>
      </w:tr>
      <w:tr w:rsidR="00062C2E">
        <w:trPr>
          <w:cantSplit/>
          <w:jc w:val="center"/>
        </w:trPr>
        <w:tc>
          <w:tcPr>
            <w:tcW w:w="720" w:type="dxa"/>
          </w:tcPr>
          <w:p w:rsidR="00062C2E" w:rsidRDefault="00D903DE">
            <w:pPr>
              <w:spacing w:after="40" w:line="240" w:lineRule="auto"/>
              <w:jc w:val="center"/>
            </w:pPr>
            <w:r>
              <w:rPr>
                <w:rFonts w:cs="Times New Roman"/>
                <w:sz w:val="19"/>
              </w:rPr>
              <w:t>5</w:t>
            </w:r>
          </w:p>
        </w:tc>
        <w:tc>
          <w:tcPr>
            <w:tcW w:w="3168" w:type="dxa"/>
          </w:tcPr>
          <w:p w:rsidR="00062C2E" w:rsidRDefault="00D903DE">
            <w:pPr>
              <w:spacing w:after="40" w:line="240" w:lineRule="auto"/>
              <w:jc w:val="left"/>
            </w:pPr>
            <w:r>
              <w:rPr>
                <w:rFonts w:cs="Times New Roman"/>
                <w:sz w:val="19"/>
              </w:rPr>
              <w:t>Identify separating features</w:t>
            </w:r>
          </w:p>
        </w:tc>
        <w:tc>
          <w:tcPr>
            <w:tcW w:w="5760" w:type="dxa"/>
          </w:tcPr>
          <w:p w:rsidR="00062C2E" w:rsidRDefault="00D903DE">
            <w:pPr>
              <w:spacing w:after="40" w:line="240" w:lineRule="auto"/>
              <w:jc w:val="left"/>
            </w:pPr>
            <w:r>
              <w:rPr>
                <w:rFonts w:cs="Times New Roman"/>
                <w:sz w:val="19"/>
              </w:rPr>
              <w:t>Achieved: Random Forest Gini and permutation importance and logistic-regression weights; relationships ranks first in both tree measures</w:t>
            </w:r>
          </w:p>
        </w:tc>
      </w:tr>
      <w:tr w:rsidR="00062C2E">
        <w:trPr>
          <w:cantSplit/>
          <w:jc w:val="center"/>
        </w:trPr>
        <w:tc>
          <w:tcPr>
            <w:tcW w:w="720" w:type="dxa"/>
          </w:tcPr>
          <w:p w:rsidR="00062C2E" w:rsidRDefault="00D903DE">
            <w:pPr>
              <w:spacing w:after="40" w:line="240" w:lineRule="auto"/>
              <w:jc w:val="center"/>
            </w:pPr>
            <w:r>
              <w:rPr>
                <w:rFonts w:cs="Times New Roman"/>
                <w:sz w:val="19"/>
              </w:rPr>
              <w:t>6</w:t>
            </w:r>
          </w:p>
        </w:tc>
        <w:tc>
          <w:tcPr>
            <w:tcW w:w="3168" w:type="dxa"/>
          </w:tcPr>
          <w:p w:rsidR="00062C2E" w:rsidRDefault="00D903DE">
            <w:pPr>
              <w:spacing w:after="40" w:line="240" w:lineRule="auto"/>
              <w:jc w:val="left"/>
            </w:pPr>
            <w:r>
              <w:rPr>
                <w:rFonts w:cs="Times New Roman"/>
                <w:sz w:val="19"/>
              </w:rPr>
              <w:t>Evaluate with accuracy, preci</w:t>
            </w:r>
            <w:r>
              <w:rPr>
                <w:rFonts w:cs="Times New Roman"/>
                <w:sz w:val="19"/>
              </w:rPr>
              <w:t>sion, recall, F1, ROC-AUC</w:t>
            </w:r>
          </w:p>
        </w:tc>
        <w:tc>
          <w:tcPr>
            <w:tcW w:w="5760" w:type="dxa"/>
          </w:tcPr>
          <w:p w:rsidR="00062C2E" w:rsidRDefault="00D903DE">
            <w:pPr>
              <w:spacing w:after="40" w:line="240" w:lineRule="auto"/>
              <w:jc w:val="left"/>
            </w:pPr>
            <w:r>
              <w:rPr>
                <w:rFonts w:cs="Times New Roman"/>
                <w:sz w:val="19"/>
              </w:rPr>
              <w:t>Achieved on real data; ROC-AUC of the shipped fused model was not recorded</w:t>
            </w:r>
          </w:p>
        </w:tc>
      </w:tr>
    </w:tbl>
    <w:p w:rsidR="00062C2E" w:rsidRDefault="00062C2E">
      <w:pPr>
        <w:spacing w:line="192" w:lineRule="auto"/>
      </w:pPr>
    </w:p>
    <w:p w:rsidR="00062C2E" w:rsidRDefault="00D903DE">
      <w:pPr>
        <w:pStyle w:val="Heading2"/>
      </w:pPr>
      <w:r>
        <w:t>1.3 Key findings</w:t>
      </w:r>
    </w:p>
    <w:p w:rsidR="00062C2E" w:rsidRDefault="00D903DE">
      <w:pPr>
        <w:spacing w:after="60"/>
        <w:ind w:left="720" w:hanging="432"/>
      </w:pPr>
      <w:r>
        <w:rPr>
          <w:rFonts w:cs="Times New Roman"/>
        </w:rPr>
        <w:t xml:space="preserve">1.  On real startups the tree ensembles rank above logistic regression (balanced accuracy 0.746 and 0.746 against 0.709), as the base </w:t>
      </w:r>
      <w:r>
        <w:rPr>
          <w:rFonts w:cs="Times New Roman"/>
        </w:rPr>
        <w:t>paper claims, but at an accuracy of 0.775 and not at the 85-92 % it reports; Random Forest, XGBoost and HistGradientBoosting lie within one standard deviation of one another.</w:t>
      </w:r>
    </w:p>
    <w:p w:rsidR="00062C2E" w:rsidRDefault="00D903DE">
      <w:pPr>
        <w:spacing w:after="60"/>
        <w:ind w:left="720" w:hanging="432"/>
      </w:pPr>
      <w:r>
        <w:rPr>
          <w:rFonts w:cs="Times New Roman"/>
        </w:rPr>
        <w:t>2.  The table leaks: removing relationships, milestones and the two milestone-age</w:t>
      </w:r>
      <w:r>
        <w:rPr>
          <w:rFonts w:cs="Times New Roman"/>
        </w:rPr>
        <w:t xml:space="preserve"> fields lowers ROC-AUC from 0.816 to 0.719 for Random Forest and from 0.806 to 0.699 for XGBoost, and the ensembles lose their lead.</w:t>
      </w:r>
    </w:p>
    <w:p w:rsidR="00062C2E" w:rsidRDefault="00D903DE">
      <w:pPr>
        <w:spacing w:after="60"/>
        <w:ind w:left="720" w:hanging="432"/>
      </w:pPr>
      <w:r>
        <w:rPr>
          <w:rFonts w:cs="Times New Roman"/>
        </w:rPr>
        <w:t>3.  Retrieval alone is competitive: balanced top-k voting with no trained model reaches balanced accuracy 0.714 to 0.703 an</w:t>
      </w:r>
      <w:r>
        <w:rPr>
          <w:rFonts w:cs="Times New Roman"/>
        </w:rPr>
        <w:t>d ROC-AUC 0.769 to 0.789, equal to logistic regression, and the retrieved startups give a user something to inspect.</w:t>
      </w:r>
    </w:p>
    <w:p w:rsidR="00062C2E" w:rsidRDefault="00D903DE">
      <w:pPr>
        <w:spacing w:after="60"/>
        <w:ind w:left="720" w:hanging="432"/>
      </w:pPr>
      <w:r>
        <w:rPr>
          <w:rFonts w:cs="Times New Roman"/>
        </w:rPr>
        <w:t>4.  Imbalance handling changes recall, not ranking: class weights or oversampling leave ROC-AUC at about 0.816 and balanced accuracy at 0.7</w:t>
      </w:r>
      <w:r>
        <w:rPr>
          <w:rFonts w:cs="Times New Roman"/>
        </w:rPr>
        <w:t>5 for Random Forest; the logistic-regression balanced accuracy is flat between thresholds 0.30 and 0.50 (0.71) while recall of success falls from 0.88 to 0.67.</w:t>
      </w:r>
    </w:p>
    <w:p w:rsidR="00062C2E" w:rsidRDefault="00D903DE">
      <w:pPr>
        <w:spacing w:after="60"/>
        <w:ind w:left="720" w:hanging="432"/>
      </w:pPr>
      <w:r>
        <w:rPr>
          <w:rFonts w:cs="Times New Roman"/>
        </w:rPr>
        <w:lastRenderedPageBreak/>
        <w:t>5.  The text channel is untested on real startups: the real table has no descriptions, and the s</w:t>
      </w:r>
      <w:r>
        <w:rPr>
          <w:rFonts w:cs="Times New Roman"/>
        </w:rPr>
        <w:t>ynthetic descriptions leak the class, so the 0.749 of the shipped fused model must not be read as real-world performance.</w:t>
      </w:r>
    </w:p>
    <w:p w:rsidR="00062C2E" w:rsidRDefault="00D903DE">
      <w:pPr>
        <w:spacing w:after="60"/>
        <w:ind w:left="720" w:hanging="432"/>
      </w:pPr>
      <w:r>
        <w:rPr>
          <w:rFonts w:cs="Times New Roman"/>
        </w:rPr>
        <w:t>6.  The software is sound: 51 automated checks pass and a prediction takes a median of 148 to 198 ms on a CPU.</w:t>
      </w:r>
    </w:p>
    <w:p w:rsidR="00062C2E" w:rsidRDefault="00D903DE">
      <w:pPr>
        <w:pStyle w:val="Heading2"/>
      </w:pPr>
      <w:r>
        <w:t>1.4 Practical applicati</w:t>
      </w:r>
      <w:r>
        <w:t>ons</w:t>
      </w:r>
    </w:p>
    <w:p w:rsidR="00062C2E" w:rsidRDefault="00D903DE">
      <w:pPr>
        <w:spacing w:after="60"/>
        <w:ind w:left="720" w:hanging="360"/>
      </w:pPr>
      <w:r>
        <w:rPr>
          <w:rFonts w:cs="Times New Roman"/>
        </w:rPr>
        <w:t>•  A screening aid that gives a first, evidence-backed view of a startup profile and shows which comparable companies and features drive it.</w:t>
      </w:r>
    </w:p>
    <w:p w:rsidR="00062C2E" w:rsidRDefault="00D903DE">
      <w:pPr>
        <w:spacing w:after="60"/>
        <w:ind w:left="720" w:hanging="360"/>
      </w:pPr>
      <w:r>
        <w:rPr>
          <w:rFonts w:cs="Times New Roman"/>
        </w:rPr>
        <w:t>•  A teaching and demonstration tool for a complete tabular machine-learning workflow: imbalance, model compari</w:t>
      </w:r>
      <w:r>
        <w:rPr>
          <w:rFonts w:cs="Times New Roman"/>
        </w:rPr>
        <w:t>son, threshold choice, calibration and leakage checks.</w:t>
      </w:r>
    </w:p>
    <w:p w:rsidR="00062C2E" w:rsidRDefault="00D903DE">
      <w:pPr>
        <w:spacing w:after="60"/>
        <w:ind w:left="720" w:hanging="360"/>
      </w:pPr>
      <w:r>
        <w:rPr>
          <w:rFonts w:cs="Times New Roman"/>
        </w:rPr>
        <w:t>•  A starting point for a team with its own labelled startup data and time stamps, where the same pipeline can be retrained and validated out of time.</w:t>
      </w:r>
    </w:p>
    <w:p w:rsidR="00062C2E" w:rsidRDefault="00D903DE">
      <w:pPr>
        <w:spacing w:after="60"/>
        <w:ind w:left="720" w:hanging="360"/>
      </w:pPr>
      <w:r>
        <w:rPr>
          <w:rFonts w:cs="Times New Roman"/>
        </w:rPr>
        <w:t>•  It is not investment advice and not a replaceme</w:t>
      </w:r>
      <w:r>
        <w:rPr>
          <w:rFonts w:cs="Times New Roman"/>
        </w:rPr>
        <w:t>nt for due diligence.</w:t>
      </w:r>
    </w:p>
    <w:p w:rsidR="00062C2E" w:rsidRDefault="00D903DE">
      <w:pPr>
        <w:pStyle w:val="Heading2"/>
      </w:pPr>
      <w:r>
        <w:t>1.5 Known limitations</w:t>
      </w:r>
    </w:p>
    <w:p w:rsidR="00062C2E" w:rsidRDefault="00D903DE">
      <w:r>
        <w:rPr>
          <w:rFonts w:cs="Times New Roman"/>
        </w:rPr>
        <w:t>The main limitations are the synthetic training data of the served model (L1), the leakage-like fields (L2), the lack of a temporal split (L3), the small single-country table with 185-row test folds (L4), the unt</w:t>
      </w:r>
      <w:r>
        <w:rPr>
          <w:rFonts w:cs="Times New Roman"/>
        </w:rPr>
        <w:t>ested text channel (L5), the missing founder and market data (L6) and uncalibrated probabilities (L8). The full list L1 to L10 is given in the document on scope and limitations.</w:t>
      </w:r>
    </w:p>
    <w:p w:rsidR="00062C2E" w:rsidRDefault="00D903DE">
      <w:r>
        <w:rPr>
          <w:rFonts w:cs="Times New Roman"/>
        </w:rPr>
        <w:t xml:space="preserve">The model comparison on the real table and the position against the published </w:t>
      </w:r>
      <w:r>
        <w:rPr>
          <w:rFonts w:cs="Times New Roman"/>
        </w:rPr>
        <w:t>figures behind the key findings are shown below.</w:t>
      </w:r>
    </w:p>
    <w:p w:rsidR="00062C2E" w:rsidRDefault="00D903DE">
      <w:pPr>
        <w:keepNext/>
        <w:spacing w:after="80" w:line="240" w:lineRule="auto"/>
        <w:jc w:val="center"/>
      </w:pPr>
      <w:r>
        <w:rPr>
          <w:noProof/>
        </w:rPr>
        <w:lastRenderedPageBreak/>
        <w:drawing>
          <wp:inline distT="0" distB="0" distL="0" distR="0">
            <wp:extent cx="5120640" cy="3011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_real.png"/>
                    <pic:cNvPicPr/>
                  </pic:nvPicPr>
                  <pic:blipFill>
                    <a:blip r:embed="rId8"/>
                    <a:stretch>
                      <a:fillRect/>
                    </a:stretch>
                  </pic:blipFill>
                  <pic:spPr>
                    <a:xfrm>
                      <a:off x="0" y="0"/>
                      <a:ext cx="5120640" cy="3011591"/>
                    </a:xfrm>
                    <a:prstGeom prst="rect">
                      <a:avLst/>
                    </a:prstGeom>
                  </pic:spPr>
                </pic:pic>
              </a:graphicData>
            </a:graphic>
          </wp:inline>
        </w:drawing>
      </w:r>
    </w:p>
    <w:p w:rsidR="00062C2E" w:rsidRDefault="00D903D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Balanced accuracy, ROC-AUC and F1 of the five models on the real 922-row table (5 x 80/20 splits).</w:t>
      </w:r>
    </w:p>
    <w:p w:rsidR="00062C2E" w:rsidRDefault="00D903DE">
      <w:pPr>
        <w:keepNext/>
        <w:spacing w:after="80" w:line="240" w:lineRule="auto"/>
        <w:jc w:val="center"/>
      </w:pPr>
      <w:r>
        <w:rPr>
          <w:noProof/>
        </w:rPr>
        <w:drawing>
          <wp:inline distT="0" distB="0" distL="0" distR="0">
            <wp:extent cx="4937760" cy="1912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vs_base_papers.png"/>
                    <pic:cNvPicPr/>
                  </pic:nvPicPr>
                  <pic:blipFill>
                    <a:blip r:embed="rId9"/>
                    <a:stretch>
                      <a:fillRect/>
                    </a:stretch>
                  </pic:blipFill>
                  <pic:spPr>
                    <a:xfrm>
                      <a:off x="0" y="0"/>
                      <a:ext cx="4937760" cy="1912172"/>
                    </a:xfrm>
                    <a:prstGeom prst="rect">
                      <a:avLst/>
                    </a:prstGeom>
                  </pic:spPr>
                </pic:pic>
              </a:graphicData>
            </a:graphic>
          </wp:inline>
        </w:drawing>
      </w:r>
    </w:p>
    <w:p w:rsidR="00062C2E" w:rsidRDefault="00D903D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Published figures and this </w:t>
      </w:r>
      <w:r>
        <w:rPr>
          <w:rFonts w:cs="Times New Roman"/>
        </w:rPr>
        <w:t>project's real-table figures; the datasets differ, so the bars are not directly comparable.</w:t>
      </w:r>
    </w:p>
    <w:p w:rsidR="00062C2E" w:rsidRDefault="00D903DE">
      <w:pPr>
        <w:pStyle w:val="Heading1"/>
        <w:pageBreakBefore/>
      </w:pPr>
      <w:r>
        <w:lastRenderedPageBreak/>
        <w:t>2. FUTURE SCOPE</w:t>
      </w:r>
    </w:p>
    <w:p w:rsidR="00062C2E" w:rsidRDefault="00D903DE">
      <w:pPr>
        <w:pStyle w:val="Heading2"/>
      </w:pPr>
      <w:r>
        <w:t>2.1 Improvements to the model</w:t>
      </w:r>
    </w:p>
    <w:p w:rsidR="00062C2E" w:rsidRDefault="00D903DE">
      <w:pPr>
        <w:spacing w:after="60"/>
        <w:ind w:left="720" w:hanging="432"/>
      </w:pPr>
      <w:r>
        <w:rPr>
          <w:rFonts w:cs="Times New Roman"/>
        </w:rPr>
        <w:t>1.  Validate out of time: obtain founding and event dates, train on earlier cohorts and test on later ones, and drop f</w:t>
      </w:r>
      <w:r>
        <w:rPr>
          <w:rFonts w:cs="Times New Roman"/>
        </w:rPr>
        <w:t>ields recorded after the outcome window, as the reference study does with a leakage-safe temporal panel [3] (untested here).</w:t>
      </w:r>
    </w:p>
    <w:p w:rsidR="00062C2E" w:rsidRDefault="00D903DE">
      <w:pPr>
        <w:spacing w:after="60"/>
        <w:ind w:left="720" w:hanging="432"/>
      </w:pPr>
      <w:r>
        <w:rPr>
          <w:rFonts w:cs="Times New Roman"/>
        </w:rPr>
        <w:t>2.  Add the missing inputs: founder and team experience, team size and composition, and market context, which the abstract names an</w:t>
      </w:r>
      <w:r>
        <w:rPr>
          <w:rFonts w:cs="Times New Roman"/>
        </w:rPr>
        <w:t>d the base paper's features include [1] (no data yet).</w:t>
      </w:r>
    </w:p>
    <w:p w:rsidR="00062C2E" w:rsidRDefault="00D903DE">
      <w:pPr>
        <w:spacing w:after="60"/>
        <w:ind w:left="720" w:hanging="432"/>
      </w:pPr>
      <w:r>
        <w:rPr>
          <w:rFonts w:cs="Times New Roman"/>
        </w:rPr>
        <w:t>3.  Test the text channel on real startups: collect genuine company descriptions (for example from a public company directory under its licence) and measure the fused representation and retrieval again</w:t>
      </w:r>
      <w:r>
        <w:rPr>
          <w:rFonts w:cs="Times New Roman"/>
        </w:rPr>
        <w:t>st the structured baseline.</w:t>
      </w:r>
    </w:p>
    <w:p w:rsidR="00062C2E" w:rsidRDefault="00D903DE">
      <w:pPr>
        <w:spacing w:after="60"/>
        <w:ind w:left="720" w:hanging="432"/>
      </w:pPr>
      <w:r>
        <w:rPr>
          <w:rFonts w:cs="Times New Roman"/>
        </w:rPr>
        <w:t>4.  Calibrate the probabilities (Platt or isotonic scaling with class priors) and report Brier score and reliability curves, because the class-weighted logistic regression is visibly miscalibrated on real data (L8).</w:t>
      </w:r>
    </w:p>
    <w:p w:rsidR="00062C2E" w:rsidRDefault="00D903DE">
      <w:pPr>
        <w:spacing w:after="60"/>
        <w:ind w:left="720" w:hanging="432"/>
      </w:pPr>
      <w:r>
        <w:rPr>
          <w:rFonts w:cs="Times New Roman"/>
        </w:rPr>
        <w:t>5.  Add SHAP</w:t>
      </w:r>
      <w:r>
        <w:rPr>
          <w:rFonts w:cs="Times New Roman"/>
        </w:rPr>
        <w:t>-based explanations for the tree ensembles [33] in place of coefficient and importance terms, and compare them with the Gini and permutation rankings.</w:t>
      </w:r>
    </w:p>
    <w:p w:rsidR="00062C2E" w:rsidRDefault="00D903DE">
      <w:pPr>
        <w:spacing w:after="60"/>
        <w:ind w:left="720" w:hanging="432"/>
      </w:pPr>
      <w:r>
        <w:rPr>
          <w:rFonts w:cs="Times New Roman"/>
        </w:rPr>
        <w:t>6.  Tune each model (grid or Bayesian search), tune alpha and k, and compare the served model choice with</w:t>
      </w:r>
      <w:r>
        <w:rPr>
          <w:rFonts w:cs="Times New Roman"/>
        </w:rPr>
        <w:t xml:space="preserve"> the study's best model; add significance tests over many more splits or repeated cross-validation.</w:t>
      </w:r>
    </w:p>
    <w:p w:rsidR="00062C2E" w:rsidRDefault="00D903DE">
      <w:pPr>
        <w:spacing w:after="60"/>
        <w:ind w:left="720" w:hanging="432"/>
      </w:pPr>
      <w:r>
        <w:rPr>
          <w:rFonts w:cs="Times New Roman"/>
        </w:rPr>
        <w:t>7.  Report PR-AUC next to ROC-AUC, as the reference study does [27, 3], and evaluate cost-sensitive decision thresholds chosen by an investor's own costs.</w:t>
      </w:r>
    </w:p>
    <w:p w:rsidR="00062C2E" w:rsidRDefault="00D903DE">
      <w:pPr>
        <w:pStyle w:val="Heading2"/>
      </w:pPr>
      <w:r>
        <w:t>2</w:t>
      </w:r>
      <w:r>
        <w:t>.2 Improvements to the application</w:t>
      </w:r>
    </w:p>
    <w:p w:rsidR="00062C2E" w:rsidRDefault="00D903DE">
      <w:pPr>
        <w:spacing w:after="60"/>
        <w:ind w:left="720" w:hanging="360"/>
      </w:pPr>
      <w:r>
        <w:rPr>
          <w:rFonts w:cs="Times New Roman"/>
        </w:rPr>
        <w:t>•  Let the application select the served model from the real-data results and show its ROC-AUC on the Performance screen (L9).</w:t>
      </w:r>
    </w:p>
    <w:p w:rsidR="00062C2E" w:rsidRDefault="00D903DE">
      <w:pPr>
        <w:spacing w:after="60"/>
        <w:ind w:left="720" w:hanging="360"/>
      </w:pPr>
      <w:r>
        <w:rPr>
          <w:rFonts w:cs="Times New Roman"/>
        </w:rPr>
        <w:t>•  Warn the user when the inputs lie outside the range of the training data or when the confid</w:t>
      </w:r>
      <w:r>
        <w:rPr>
          <w:rFonts w:cs="Times New Roman"/>
        </w:rPr>
        <w:t>ence is low, and show the calibrated confidence.</w:t>
      </w:r>
    </w:p>
    <w:p w:rsidR="00062C2E" w:rsidRDefault="00D903DE">
      <w:pPr>
        <w:spacing w:after="60"/>
        <w:ind w:left="720" w:hanging="360"/>
      </w:pPr>
      <w:r>
        <w:rPr>
          <w:rFonts w:cs="Times New Roman"/>
        </w:rPr>
        <w:t>•  Accept a CSV of many startups and return a ranked list with downloadable results.</w:t>
      </w:r>
    </w:p>
    <w:p w:rsidR="00062C2E" w:rsidRDefault="00D903DE">
      <w:pPr>
        <w:spacing w:after="60"/>
        <w:ind w:left="720" w:hanging="360"/>
      </w:pPr>
      <w:r>
        <w:rPr>
          <w:rFonts w:cs="Times New Roman"/>
        </w:rPr>
        <w:t>•  Save each analysis (inputs, outcome, comparable startups) for later review, with a proper user store replacing the demo</w:t>
      </w:r>
      <w:r>
        <w:rPr>
          <w:rFonts w:cs="Times New Roman"/>
        </w:rPr>
        <w:t xml:space="preserve"> token.</w:t>
      </w:r>
    </w:p>
    <w:p w:rsidR="00062C2E" w:rsidRDefault="00D903DE">
      <w:pPr>
        <w:spacing w:after="60"/>
        <w:ind w:left="720" w:hanging="360"/>
      </w:pPr>
      <w:r>
        <w:rPr>
          <w:rFonts w:cs="Times New Roman"/>
        </w:rPr>
        <w:t>•  Show the retrieval evidence as a chart of outcomes among the nearest startups, per industry and funding stage.</w:t>
      </w:r>
    </w:p>
    <w:p w:rsidR="00062C2E" w:rsidRDefault="00D903DE">
      <w:pPr>
        <w:pStyle w:val="Heading2"/>
      </w:pPr>
      <w:r>
        <w:lastRenderedPageBreak/>
        <w:t>2.3 Scalability and deployment</w:t>
      </w:r>
    </w:p>
    <w:p w:rsidR="00062C2E" w:rsidRDefault="00D903DE">
      <w:pPr>
        <w:spacing w:after="60"/>
        <w:ind w:left="720" w:hanging="360"/>
      </w:pPr>
      <w:r>
        <w:rPr>
          <w:rFonts w:cs="Times New Roman"/>
        </w:rPr>
        <w:t xml:space="preserve">•  Serve the backend with several worker processes behind a reverse proxy, add real authentication and </w:t>
      </w:r>
      <w:r>
        <w:rPr>
          <w:rFonts w:cs="Times New Roman"/>
        </w:rPr>
        <w:t>rate limits, and store models and analyses in a database (L10).</w:t>
      </w:r>
    </w:p>
    <w:p w:rsidR="00062C2E" w:rsidRDefault="00D903DE">
      <w:pPr>
        <w:spacing w:after="60"/>
        <w:ind w:left="720" w:hanging="360"/>
      </w:pPr>
      <w:r>
        <w:rPr>
          <w:rFonts w:cs="Times New Roman"/>
        </w:rPr>
        <w:t xml:space="preserve">•  Cache the embedding of repeated descriptions and pre-compute the training-matrix similarity index (for example approximate nearest neighbours) so that retrieval stays fast with hundreds of </w:t>
      </w:r>
      <w:r>
        <w:rPr>
          <w:rFonts w:cs="Times New Roman"/>
        </w:rPr>
        <w:t>thousands of startups.</w:t>
      </w:r>
    </w:p>
    <w:p w:rsidR="00062C2E" w:rsidRDefault="00D903DE">
      <w:pPr>
        <w:spacing w:after="60"/>
        <w:ind w:left="720" w:hanging="360"/>
      </w:pPr>
      <w:r>
        <w:rPr>
          <w:rFonts w:cs="Times New Roman"/>
        </w:rPr>
        <w:t>•  Run a load test and a memory profile; only sequential requests were timed here.</w:t>
      </w:r>
    </w:p>
    <w:p w:rsidR="00062C2E" w:rsidRDefault="00D903DE">
      <w:pPr>
        <w:spacing w:after="60"/>
        <w:ind w:left="720" w:hanging="360"/>
      </w:pPr>
      <w:r>
        <w:rPr>
          <w:rFonts w:cs="Times New Roman"/>
        </w:rPr>
        <w:t>•  Package the application as a container image (a Dockerfile exists but was not exercised in this report) for one-command deployment.</w:t>
      </w:r>
    </w:p>
    <w:p w:rsidR="00062C2E" w:rsidRDefault="00D903DE">
      <w:pPr>
        <w:pStyle w:val="Heading2"/>
      </w:pPr>
      <w:r>
        <w:t>2.4 Further res</w:t>
      </w:r>
      <w:r>
        <w:t>earch</w:t>
      </w:r>
    </w:p>
    <w:p w:rsidR="00062C2E" w:rsidRDefault="00D903DE">
      <w:pPr>
        <w:spacing w:after="60"/>
        <w:ind w:left="720" w:hanging="360"/>
      </w:pPr>
      <w:r>
        <w:rPr>
          <w:rFonts w:cs="Times New Roman"/>
        </w:rPr>
        <w:t>•  Compare the retrieval-based approach with a language model that reads the retrieved startups, as in the method anchor [2], on the same data and protocol.</w:t>
      </w:r>
    </w:p>
    <w:p w:rsidR="00062C2E" w:rsidRDefault="00D903DE">
      <w:pPr>
        <w:spacing w:after="60"/>
        <w:ind w:left="720" w:hanging="360"/>
      </w:pPr>
      <w:r>
        <w:rPr>
          <w:rFonts w:cs="Times New Roman"/>
        </w:rPr>
        <w:t xml:space="preserve">•  Extend to richer outcome horizons (next funding, patenting, exit) as in the reference </w:t>
      </w:r>
      <w:r>
        <w:rPr>
          <w:rFonts w:cs="Times New Roman"/>
        </w:rPr>
        <w:t>study, and to survival analysis for time-to-exit.</w:t>
      </w:r>
    </w:p>
    <w:p w:rsidR="00062C2E" w:rsidRDefault="00D903DE">
      <w:pPr>
        <w:spacing w:after="60"/>
        <w:ind w:left="720" w:hanging="360"/>
      </w:pPr>
      <w:r>
        <w:rPr>
          <w:rFonts w:cs="Times New Roman"/>
        </w:rPr>
        <w:t>•  Study fairness and bias across regions, sectors and founder groups, since a model trained on a US table may disadvantage other ecosystems.</w:t>
      </w:r>
    </w:p>
    <w:p w:rsidR="00062C2E" w:rsidRDefault="00D903DE">
      <w:pPr>
        <w:spacing w:after="60"/>
        <w:ind w:left="720" w:hanging="360"/>
      </w:pPr>
      <w:r>
        <w:rPr>
          <w:rFonts w:cs="Times New Roman"/>
        </w:rPr>
        <w:t>•  Run a user study with founders and investors on whether compa</w:t>
      </w:r>
      <w:r>
        <w:rPr>
          <w:rFonts w:cs="Times New Roman"/>
        </w:rPr>
        <w:t>rable-startup evidence and feature drivers change their decisions.</w:t>
      </w:r>
    </w:p>
    <w:p w:rsidR="00062C2E" w:rsidRDefault="00D903DE">
      <w:pPr>
        <w:pStyle w:val="Heading1"/>
        <w:pageBreakBefore/>
      </w:pPr>
      <w:r>
        <w:lastRenderedPageBreak/>
        <w:t>3. REFERENCES</w:t>
      </w:r>
    </w:p>
    <w:p w:rsidR="00062C2E" w:rsidRDefault="00D903DE">
      <w:pPr>
        <w:spacing w:after="100" w:line="276" w:lineRule="auto"/>
        <w:ind w:left="648" w:hanging="648"/>
      </w:pPr>
      <w:r>
        <w:rPr>
          <w:rFonts w:cs="Times New Roman"/>
          <w:sz w:val="20"/>
        </w:rPr>
        <w:t>[1]  M. Panjwani, P. Shrivastava, P. Hande, G. Meshram, N. Verma and D. Gotmare, "Startup success prediction using machine learning and ensemble techniques," Int. J. Res. Appl</w:t>
      </w:r>
      <w:r>
        <w:rPr>
          <w:rFonts w:cs="Times New Roman"/>
          <w:sz w:val="20"/>
        </w:rPr>
        <w:t>. Sci. Eng. Technol. (IJRASET), vol. 14, no. IV, Apr. 2026, doi: 10.22214/ijraset.2026.80226.</w:t>
      </w:r>
    </w:p>
    <w:p w:rsidR="00062C2E" w:rsidRDefault="00D903DE">
      <w:pPr>
        <w:spacing w:after="100" w:line="276" w:lineRule="auto"/>
        <w:ind w:left="648" w:hanging="648"/>
      </w:pPr>
      <w:r>
        <w:rPr>
          <w:rFonts w:cs="Times New Roman"/>
          <w:sz w:val="20"/>
        </w:rPr>
        <w:t>[2]  A. Maarouf, A. Bakiaj and S. Feuerriegel, "Predicting startup success using large language models: A novel in-context learning approach," arXiv:2601.16568, J</w:t>
      </w:r>
      <w:r>
        <w:rPr>
          <w:rFonts w:cs="Times New Roman"/>
          <w:sz w:val="20"/>
        </w:rPr>
        <w:t>an. 2026.</w:t>
      </w:r>
    </w:p>
    <w:p w:rsidR="00062C2E" w:rsidRDefault="00D903DE">
      <w:pPr>
        <w:spacing w:after="100" w:line="276" w:lineRule="auto"/>
        <w:ind w:left="648" w:hanging="648"/>
      </w:pPr>
      <w:r>
        <w:rPr>
          <w:rFonts w:cs="Times New Roman"/>
          <w:sz w:val="20"/>
        </w:rPr>
        <w:t>[3]  S. Mashhadi, A. Saghezchi and V. G. Kashani, "Interpretable machine learning for predicting startup funding, patenting, and exits," arXiv:2510.09465, 2026.</w:t>
      </w:r>
    </w:p>
    <w:p w:rsidR="00062C2E" w:rsidRDefault="00D903DE">
      <w:pPr>
        <w:spacing w:after="100" w:line="276" w:lineRule="auto"/>
        <w:ind w:left="648" w:hanging="648"/>
      </w:pPr>
      <w:r>
        <w:rPr>
          <w:rFonts w:cs="Times New Roman"/>
          <w:sz w:val="20"/>
        </w:rPr>
        <w:t>[4]  A. Krishna, A. Agrawal and A. Choudhary, "Predicting the outcome of startups: Le</w:t>
      </w:r>
      <w:r>
        <w:rPr>
          <w:rFonts w:cs="Times New Roman"/>
          <w:sz w:val="20"/>
        </w:rPr>
        <w:t>ss failure, more success," Northwestern University, 2016.</w:t>
      </w:r>
    </w:p>
    <w:p w:rsidR="00062C2E" w:rsidRDefault="00D903DE">
      <w:pPr>
        <w:spacing w:after="100" w:line="276" w:lineRule="auto"/>
        <w:ind w:left="648" w:hanging="648"/>
      </w:pPr>
      <w:r>
        <w:rPr>
          <w:rFonts w:cs="Times New Roman"/>
          <w:sz w:val="20"/>
        </w:rPr>
        <w:t>[5]  D. Camelo Martinez, "Startup success prediction in the Dutch startup ecosystem," M.S. thesis, Delft University of Technology, Delft, The Netherlands, 2019.</w:t>
      </w:r>
    </w:p>
    <w:p w:rsidR="00062C2E" w:rsidRDefault="00D903DE">
      <w:pPr>
        <w:spacing w:after="100" w:line="276" w:lineRule="auto"/>
        <w:ind w:left="648" w:hanging="648"/>
      </w:pPr>
      <w:r>
        <w:rPr>
          <w:rFonts w:cs="Times New Roman"/>
          <w:sz w:val="20"/>
        </w:rPr>
        <w:t xml:space="preserve">[6]  H. B. G, A. Kumar and R. Kumar, </w:t>
      </w:r>
      <w:r>
        <w:rPr>
          <w:rFonts w:cs="Times New Roman"/>
          <w:sz w:val="20"/>
        </w:rPr>
        <w:t>"Startup success prediction using machine learning algorithms," JNNCE J. Eng. Manage., 2024.</w:t>
      </w:r>
    </w:p>
    <w:p w:rsidR="00062C2E" w:rsidRDefault="00D903DE">
      <w:pPr>
        <w:spacing w:after="100" w:line="276" w:lineRule="auto"/>
        <w:ind w:left="648" w:hanging="648"/>
      </w:pPr>
      <w:r>
        <w:rPr>
          <w:rFonts w:cs="Times New Roman"/>
          <w:sz w:val="20"/>
        </w:rPr>
        <w:t xml:space="preserve">[7]  M. Razaghzadeh Bidgoli, I. Raeesi Vanani and M. Goodarzi, "Predicting the success of startups using a machine learning approach," J. Innov. Entrepreneurship, </w:t>
      </w:r>
      <w:r>
        <w:rPr>
          <w:rFonts w:cs="Times New Roman"/>
          <w:sz w:val="20"/>
        </w:rPr>
        <w:t>vol. 13, 2024.</w:t>
      </w:r>
    </w:p>
    <w:p w:rsidR="00062C2E" w:rsidRDefault="00D903DE">
      <w:pPr>
        <w:spacing w:after="100" w:line="276" w:lineRule="auto"/>
        <w:ind w:left="648" w:hanging="648"/>
      </w:pPr>
      <w:r>
        <w:rPr>
          <w:rFonts w:cs="Times New Roman"/>
          <w:sz w:val="20"/>
        </w:rPr>
        <w:t>[8]  J. Li, "Prediction of the success of startup companies based on support vector machine and random forest," in Proc. Int. Workshop Artif. Intell. Educ. (WAIE), 2020.</w:t>
      </w:r>
    </w:p>
    <w:p w:rsidR="00062C2E" w:rsidRDefault="00D903DE">
      <w:pPr>
        <w:spacing w:after="100" w:line="276" w:lineRule="auto"/>
        <w:ind w:left="648" w:hanging="648"/>
      </w:pPr>
      <w:r>
        <w:rPr>
          <w:rFonts w:cs="Times New Roman"/>
          <w:sz w:val="20"/>
        </w:rPr>
        <w:t xml:space="preserve">[9]  K. Zbikowski and P. Antosiuk, "A machine learning, bias-free </w:t>
      </w:r>
      <w:r>
        <w:rPr>
          <w:rFonts w:cs="Times New Roman"/>
          <w:sz w:val="20"/>
        </w:rPr>
        <w:t>approach for predicting business success using Crunchbase data," Inf. Process. Manage., vol. 58, no. 2, 2021.</w:t>
      </w:r>
    </w:p>
    <w:p w:rsidR="00062C2E" w:rsidRDefault="00D903DE">
      <w:pPr>
        <w:spacing w:after="100" w:line="276" w:lineRule="auto"/>
        <w:ind w:left="648" w:hanging="648"/>
      </w:pPr>
      <w:r>
        <w:rPr>
          <w:rFonts w:cs="Times New Roman"/>
          <w:sz w:val="20"/>
        </w:rPr>
        <w:t>[10]  S. M. A. Jafari, A. M. Dehkordi and E. Chitsaz, "A quantitative meta-analysis of AI-based predictors for startup success," 2024.</w:t>
      </w:r>
    </w:p>
    <w:p w:rsidR="00062C2E" w:rsidRDefault="00D903DE">
      <w:pPr>
        <w:spacing w:after="100" w:line="276" w:lineRule="auto"/>
        <w:ind w:left="648" w:hanging="648"/>
      </w:pPr>
      <w:r>
        <w:rPr>
          <w:rFonts w:cs="Times New Roman"/>
          <w:sz w:val="20"/>
        </w:rPr>
        <w:t>[11]  G. Ro</w:t>
      </w:r>
      <w:r>
        <w:rPr>
          <w:rFonts w:cs="Times New Roman"/>
          <w:sz w:val="20"/>
        </w:rPr>
        <w:t>ss, S. Das, D. Sciro and H. Raza, "CapitalVX: A machine learning model for startup selection and exit prediction," J. Finance Data Sci., vol. 7, pp. 94-114, 2021.</w:t>
      </w:r>
    </w:p>
    <w:p w:rsidR="00062C2E" w:rsidRDefault="00D903DE">
      <w:pPr>
        <w:spacing w:after="100" w:line="276" w:lineRule="auto"/>
        <w:ind w:left="648" w:hanging="648"/>
      </w:pPr>
      <w:r>
        <w:rPr>
          <w:rFonts w:cs="Times New Roman"/>
          <w:sz w:val="20"/>
        </w:rPr>
        <w:t>[12]  S. Tomy and E. Pardede, "From uncertainties to successful start-ups: A data analytic ap</w:t>
      </w:r>
      <w:r>
        <w:rPr>
          <w:rFonts w:cs="Times New Roman"/>
          <w:sz w:val="20"/>
        </w:rPr>
        <w:t>proach to predict success in technological entrepreneurship," Sustainability, vol. 10, no. 3, 2018.</w:t>
      </w:r>
    </w:p>
    <w:p w:rsidR="00062C2E" w:rsidRDefault="00D903DE">
      <w:pPr>
        <w:spacing w:after="100" w:line="276" w:lineRule="auto"/>
        <w:ind w:left="648" w:hanging="648"/>
      </w:pPr>
      <w:r>
        <w:rPr>
          <w:rFonts w:cs="Times New Roman"/>
          <w:sz w:val="20"/>
        </w:rPr>
        <w:t>[13]  Y. Choi, "Startup success prediction with PCA-enhanced machine learning models," J. Technol. Manage. Innov., vol. 19, no. 4, 2024.</w:t>
      </w:r>
    </w:p>
    <w:p w:rsidR="00062C2E" w:rsidRDefault="00D903DE">
      <w:pPr>
        <w:spacing w:after="100" w:line="276" w:lineRule="auto"/>
        <w:ind w:left="648" w:hanging="648"/>
      </w:pPr>
      <w:r>
        <w:rPr>
          <w:rFonts w:cs="Times New Roman"/>
          <w:sz w:val="20"/>
        </w:rPr>
        <w:t>[14]  A. Maarouf, S</w:t>
      </w:r>
      <w:r>
        <w:rPr>
          <w:rFonts w:cs="Times New Roman"/>
          <w:sz w:val="20"/>
        </w:rPr>
        <w:t>. Feuerriegel and N. Prollochs, "A fused large language model for predicting startup success," Eur. J. Oper. Res., 2025.</w:t>
      </w:r>
    </w:p>
    <w:p w:rsidR="00062C2E" w:rsidRDefault="00D903DE">
      <w:pPr>
        <w:spacing w:after="100" w:line="276" w:lineRule="auto"/>
        <w:ind w:left="648" w:hanging="648"/>
      </w:pPr>
      <w:r>
        <w:rPr>
          <w:rFonts w:cs="Times New Roman"/>
          <w:sz w:val="20"/>
        </w:rPr>
        <w:t>[15]  M. Bonaventura, V. Ciotti, P. Panzarasa, S. Liverani, L. Lacasa and V. Latora, "Predicting success in the worldwide start-up netw</w:t>
      </w:r>
      <w:r>
        <w:rPr>
          <w:rFonts w:cs="Times New Roman"/>
          <w:sz w:val="20"/>
        </w:rPr>
        <w:t>ork," Sci. Rep., vol. 10, 2020.</w:t>
      </w:r>
    </w:p>
    <w:p w:rsidR="00062C2E" w:rsidRDefault="00D903DE">
      <w:pPr>
        <w:spacing w:after="100" w:line="276" w:lineRule="auto"/>
        <w:ind w:left="648" w:hanging="648"/>
      </w:pPr>
      <w:r>
        <w:rPr>
          <w:rFonts w:cs="Times New Roman"/>
          <w:sz w:val="20"/>
        </w:rPr>
        <w:t>[16]  L. Gius, "Disagreement predicts startup success: Evidence from venture competitions," Strategy Sci., vol. 10, no. 2, pp. 93-108, Jun. 2025, doi: 10.1287/stsc.2024.0169.</w:t>
      </w:r>
    </w:p>
    <w:p w:rsidR="00062C2E" w:rsidRDefault="00D903DE">
      <w:pPr>
        <w:spacing w:after="100" w:line="276" w:lineRule="auto"/>
        <w:ind w:left="648" w:hanging="648"/>
      </w:pPr>
      <w:r>
        <w:rPr>
          <w:rFonts w:cs="Times New Roman"/>
          <w:sz w:val="20"/>
        </w:rPr>
        <w:t xml:space="preserve">[17]  I. B. Bhandari, "Impact of venture capital </w:t>
      </w:r>
      <w:r>
        <w:rPr>
          <w:rFonts w:cs="Times New Roman"/>
          <w:sz w:val="20"/>
        </w:rPr>
        <w:t>on startup success and economic growth in Nepal," Nepalese J. Finance, vol. 12, no. 1, Jan. 2025.</w:t>
      </w:r>
    </w:p>
    <w:p w:rsidR="00062C2E" w:rsidRDefault="00D903DE">
      <w:pPr>
        <w:spacing w:after="100" w:line="276" w:lineRule="auto"/>
        <w:ind w:left="648" w:hanging="648"/>
      </w:pPr>
      <w:r>
        <w:rPr>
          <w:rFonts w:cs="Times New Roman"/>
          <w:sz w:val="20"/>
        </w:rPr>
        <w:t>[18]  L. Breiman, "Random forests," Mach. Learn., vol. 45, no. 1, pp. 5-32, Oct. 2001.</w:t>
      </w:r>
    </w:p>
    <w:p w:rsidR="00062C2E" w:rsidRDefault="00D903DE">
      <w:pPr>
        <w:spacing w:after="100" w:line="276" w:lineRule="auto"/>
        <w:ind w:left="648" w:hanging="648"/>
      </w:pPr>
      <w:r>
        <w:rPr>
          <w:rFonts w:cs="Times New Roman"/>
          <w:sz w:val="20"/>
        </w:rPr>
        <w:t>[19]  T. Chen and C. Guestrin, "XGBoost: A scalable tree boosting syste</w:t>
      </w:r>
      <w:r>
        <w:rPr>
          <w:rFonts w:cs="Times New Roman"/>
          <w:sz w:val="20"/>
        </w:rPr>
        <w:t>m," in Proc. 22nd ACM SIGKDD Int. Conf. Knowl. Discovery Data Mining, San Francisco, CA, USA, 2016, pp. 785-794.</w:t>
      </w:r>
    </w:p>
    <w:p w:rsidR="00062C2E" w:rsidRDefault="00D903DE">
      <w:pPr>
        <w:spacing w:after="100" w:line="276" w:lineRule="auto"/>
        <w:ind w:left="648" w:hanging="648"/>
      </w:pPr>
      <w:r>
        <w:rPr>
          <w:rFonts w:cs="Times New Roman"/>
          <w:sz w:val="20"/>
        </w:rPr>
        <w:t>[20]  J. H. Friedman, "Greedy function approximation: A gradient boosting machine," Ann. Statist., vol. 29, no. 5, pp. 1189-1232, Oct. 2001.</w:t>
      </w:r>
    </w:p>
    <w:p w:rsidR="00062C2E" w:rsidRDefault="00D903DE">
      <w:pPr>
        <w:spacing w:after="100" w:line="276" w:lineRule="auto"/>
        <w:ind w:left="648" w:hanging="648"/>
      </w:pPr>
      <w:r>
        <w:rPr>
          <w:rFonts w:cs="Times New Roman"/>
          <w:sz w:val="20"/>
        </w:rPr>
        <w:t>[2</w:t>
      </w:r>
      <w:r>
        <w:rPr>
          <w:rFonts w:cs="Times New Roman"/>
          <w:sz w:val="20"/>
        </w:rPr>
        <w:t>1]  F. Pedregosa et al., "Scikit-learn: Machine learning in Python," J. Mach. Learn. Res., vol. 12, pp. 2825-2830, 2011.</w:t>
      </w:r>
    </w:p>
    <w:p w:rsidR="00062C2E" w:rsidRDefault="00D903DE">
      <w:pPr>
        <w:spacing w:after="100" w:line="276" w:lineRule="auto"/>
        <w:ind w:left="648" w:hanging="648"/>
      </w:pPr>
      <w:r>
        <w:rPr>
          <w:rFonts w:cs="Times New Roman"/>
          <w:sz w:val="20"/>
        </w:rPr>
        <w:lastRenderedPageBreak/>
        <w:t>[22]  H. He and E. A. Garcia, "Learning from imbalanced data," IEEE Trans. Knowl. Data Eng., vol. 21, no. 9, pp. 1263-1284, Sep. 2009.</w:t>
      </w:r>
    </w:p>
    <w:p w:rsidR="00062C2E" w:rsidRDefault="00D903DE">
      <w:pPr>
        <w:spacing w:after="100" w:line="276" w:lineRule="auto"/>
        <w:ind w:left="648" w:hanging="648"/>
      </w:pPr>
      <w:r>
        <w:rPr>
          <w:rFonts w:cs="Times New Roman"/>
          <w:sz w:val="20"/>
        </w:rPr>
        <w:t>[23]  N. V. Chawla, K. W. Bowyer, L. O. Hall and W. P. Kegelmeyer, "SMOTE: Synthetic minority over-sampling technique," J. Artif. Intell. Res., vol. 16, pp. 321-357, 2002.</w:t>
      </w:r>
    </w:p>
    <w:p w:rsidR="00062C2E" w:rsidRDefault="00D903DE">
      <w:pPr>
        <w:spacing w:after="100" w:line="276" w:lineRule="auto"/>
        <w:ind w:left="648" w:hanging="648"/>
      </w:pPr>
      <w:r>
        <w:rPr>
          <w:rFonts w:cs="Times New Roman"/>
          <w:sz w:val="20"/>
        </w:rPr>
        <w:t>[24]  H. He, Y. Bai, E. A. Garcia and S. Li, "ADASYN: Adaptive synthetic sampling ap</w:t>
      </w:r>
      <w:r>
        <w:rPr>
          <w:rFonts w:cs="Times New Roman"/>
          <w:sz w:val="20"/>
        </w:rPr>
        <w:t>proach for imbalanced learning," in Proc. IEEE Int. Joint Conf. Neural Netw. (IJCNN), Hong Kong, 2008, pp. 1322-1328.</w:t>
      </w:r>
    </w:p>
    <w:p w:rsidR="00062C2E" w:rsidRDefault="00D903DE">
      <w:pPr>
        <w:spacing w:after="100" w:line="276" w:lineRule="auto"/>
        <w:ind w:left="648" w:hanging="648"/>
      </w:pPr>
      <w:r>
        <w:rPr>
          <w:rFonts w:cs="Times New Roman"/>
          <w:sz w:val="20"/>
        </w:rPr>
        <w:t>[25]  N. Reimers and I. Gurevych, "Sentence-BERT: Sentence embeddings using Siamese BERT-networks," in Proc. Conf. Empirical Methods Natur</w:t>
      </w:r>
      <w:r>
        <w:rPr>
          <w:rFonts w:cs="Times New Roman"/>
          <w:sz w:val="20"/>
        </w:rPr>
        <w:t>al Lang. Process. (EMNLP-IJCNLP), Hong Kong, 2019, pp. 3982-3992.</w:t>
      </w:r>
    </w:p>
    <w:p w:rsidR="00062C2E" w:rsidRDefault="00D903DE">
      <w:pPr>
        <w:spacing w:after="100" w:line="276" w:lineRule="auto"/>
        <w:ind w:left="648" w:hanging="648"/>
      </w:pPr>
      <w:r>
        <w:rPr>
          <w:rFonts w:cs="Times New Roman"/>
          <w:sz w:val="20"/>
        </w:rPr>
        <w:t>[26]  W. Wang, F. Wei, L. Dong, H. Bao, N. Yang and M. Zhou, "MiniLM: Deep self-attention distillation for task-agnostic compression of pre-trained transformers," in Advances in Neural Infor</w:t>
      </w:r>
      <w:r>
        <w:rPr>
          <w:rFonts w:cs="Times New Roman"/>
          <w:sz w:val="20"/>
        </w:rPr>
        <w:t>mation Processing Systems, vol. 33, 2020, pp. 5776-5788.</w:t>
      </w:r>
    </w:p>
    <w:p w:rsidR="00062C2E" w:rsidRDefault="00D903DE">
      <w:pPr>
        <w:spacing w:after="100" w:line="276" w:lineRule="auto"/>
        <w:ind w:left="648" w:hanging="648"/>
      </w:pPr>
      <w:r>
        <w:rPr>
          <w:rFonts w:cs="Times New Roman"/>
          <w:sz w:val="20"/>
        </w:rPr>
        <w:t>[27]  T. Saito and M. Rehmsmeier, "The precision-recall plot is more informative than the ROC plot when evaluating binary classifiers on imbalanced datasets," PLoS ONE, vol. 10, no. 3, Art. no. e0118</w:t>
      </w:r>
      <w:r>
        <w:rPr>
          <w:rFonts w:cs="Times New Roman"/>
          <w:sz w:val="20"/>
        </w:rPr>
        <w:t>432, 2015.</w:t>
      </w:r>
    </w:p>
    <w:p w:rsidR="00062C2E" w:rsidRDefault="00D903DE">
      <w:pPr>
        <w:spacing w:after="100" w:line="276" w:lineRule="auto"/>
        <w:ind w:left="648" w:hanging="648"/>
      </w:pPr>
      <w:r>
        <w:rPr>
          <w:rFonts w:cs="Times New Roman"/>
          <w:sz w:val="20"/>
        </w:rPr>
        <w:t>[28]  T. Fawcett, "An introduction to ROC analysis," Pattern Recognit. Lett., vol. 27, no. 8, pp. 861-874, Jun. 2006.</w:t>
      </w:r>
    </w:p>
    <w:p w:rsidR="00062C2E" w:rsidRDefault="00D903DE">
      <w:pPr>
        <w:spacing w:after="100" w:line="276" w:lineRule="auto"/>
        <w:ind w:left="648" w:hanging="648"/>
      </w:pPr>
      <w:r>
        <w:rPr>
          <w:rFonts w:cs="Times New Roman"/>
          <w:sz w:val="20"/>
        </w:rPr>
        <w:t xml:space="preserve">[29]  S. Kaufman, S. Rosset, C. Perlich and O. Stitelman, "Leakage in data mining: Formulation, detection, and avoidance," ACM </w:t>
      </w:r>
      <w:r>
        <w:rPr>
          <w:rFonts w:cs="Times New Roman"/>
          <w:sz w:val="20"/>
        </w:rPr>
        <w:t>Trans. Knowl. Discovery Data, vol. 6, no. 4, Art. no. 15, 2012.</w:t>
      </w:r>
    </w:p>
    <w:p w:rsidR="00062C2E" w:rsidRDefault="00D903DE">
      <w:pPr>
        <w:spacing w:after="100" w:line="276" w:lineRule="auto"/>
        <w:ind w:left="648" w:hanging="648"/>
      </w:pPr>
      <w:r>
        <w:rPr>
          <w:rFonts w:cs="Times New Roman"/>
          <w:sz w:val="20"/>
        </w:rPr>
        <w:t>[30]  T. Cover and P. Hart, "Nearest neighbor pattern classification," IEEE Trans. Inf. Theory, vol. 13, no. 1, pp. 21-27, Jan. 1967.</w:t>
      </w:r>
    </w:p>
    <w:p w:rsidR="00062C2E" w:rsidRDefault="00D903DE">
      <w:pPr>
        <w:spacing w:after="100" w:line="276" w:lineRule="auto"/>
        <w:ind w:left="648" w:hanging="648"/>
      </w:pPr>
      <w:r>
        <w:rPr>
          <w:rFonts w:cs="Times New Roman"/>
          <w:sz w:val="20"/>
        </w:rPr>
        <w:t>[31]  T. B. Brown et al., "Language models are few-shot le</w:t>
      </w:r>
      <w:r>
        <w:rPr>
          <w:rFonts w:cs="Times New Roman"/>
          <w:sz w:val="20"/>
        </w:rPr>
        <w:t>arners," in Advances in Neural Information Processing Systems, vol. 33, 2020, pp. 1877-1901.</w:t>
      </w:r>
    </w:p>
    <w:p w:rsidR="00062C2E" w:rsidRDefault="00D903DE">
      <w:pPr>
        <w:spacing w:after="100" w:line="276" w:lineRule="auto"/>
        <w:ind w:left="648" w:hanging="648"/>
      </w:pPr>
      <w:r>
        <w:rPr>
          <w:rFonts w:cs="Times New Roman"/>
          <w:sz w:val="20"/>
        </w:rPr>
        <w:t>[32]  M. KC, "Startup success prediction," Kaggle dataset (public domain), https://www.kaggle.com/datasets/manishkc06/startup-success-prediction.</w:t>
      </w:r>
    </w:p>
    <w:p w:rsidR="00062C2E" w:rsidRDefault="00D903DE">
      <w:pPr>
        <w:spacing w:after="100" w:line="276" w:lineRule="auto"/>
        <w:ind w:left="648" w:hanging="648"/>
      </w:pPr>
      <w:r>
        <w:rPr>
          <w:rFonts w:cs="Times New Roman"/>
          <w:sz w:val="20"/>
        </w:rPr>
        <w:t>[33]  S. M. Lundb</w:t>
      </w:r>
      <w:r>
        <w:rPr>
          <w:rFonts w:cs="Times New Roman"/>
          <w:sz w:val="20"/>
        </w:rPr>
        <w:t>erg and S.-I. Lee, "A unified approach to interpreting model predictions," in Advances in Neural Information Processing Systems, vol. 30, 2017, pp. 4765-4774.</w:t>
      </w:r>
    </w:p>
    <w:p w:rsidR="00062C2E" w:rsidRDefault="00D903DE">
      <w:pPr>
        <w:spacing w:after="100" w:line="276" w:lineRule="auto"/>
        <w:ind w:left="648" w:hanging="648"/>
      </w:pPr>
      <w:r>
        <w:rPr>
          <w:rFonts w:cs="Times New Roman"/>
          <w:sz w:val="20"/>
        </w:rPr>
        <w:t>[34]  "Impact of venture capital on startup success rates across industry: An empirical study," E</w:t>
      </w:r>
      <w:r>
        <w:rPr>
          <w:rFonts w:cs="Times New Roman"/>
          <w:sz w:val="20"/>
        </w:rPr>
        <w:t>ur. Econ. Lett., 2024. [Listed in the batch literature survey; authors not verified.]</w:t>
      </w:r>
    </w:p>
    <w:p w:rsidR="00062C2E" w:rsidRDefault="00D903DE">
      <w:pPr>
        <w:spacing w:after="100" w:line="276" w:lineRule="auto"/>
        <w:ind w:left="648" w:hanging="648"/>
      </w:pPr>
      <w:r>
        <w:rPr>
          <w:rFonts w:cs="Times New Roman"/>
          <w:sz w:val="20"/>
        </w:rPr>
        <w:t>[35]  "The role and impact of SICTIC in the Swiss startup ecosystem," book chapter, 2026. [Listed in the batch literature survey; authors and publisher not verified.]</w:t>
      </w:r>
    </w:p>
    <w:sectPr w:rsidR="00062C2E" w:rsidSect="00034616">
      <w:headerReference w:type="default" r:id="rId10"/>
      <w:footerReference w:type="default" r:id="rId11"/>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903DE">
      <w:pPr>
        <w:spacing w:after="0" w:line="240" w:lineRule="auto"/>
      </w:pPr>
      <w:r>
        <w:separator/>
      </w:r>
    </w:p>
  </w:endnote>
  <w:endnote w:type="continuationSeparator" w:id="0">
    <w:p w:rsidR="00000000" w:rsidRDefault="00D9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2C2E" w:rsidRDefault="00D903D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903DE">
      <w:pPr>
        <w:spacing w:after="0" w:line="240" w:lineRule="auto"/>
      </w:pPr>
      <w:r>
        <w:separator/>
      </w:r>
    </w:p>
  </w:footnote>
  <w:footnote w:type="continuationSeparator" w:id="0">
    <w:p w:rsidR="00000000" w:rsidRDefault="00D90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2C2E" w:rsidRDefault="00D903DE">
    <w:pPr>
      <w:pStyle w:val="Header"/>
      <w:jc w:val="center"/>
    </w:pPr>
    <w:r>
      <w:rPr>
        <w:rFonts w:cs="Times New Roman"/>
        <w:i/>
        <w:color w:val="555555"/>
        <w:sz w:val="20"/>
      </w:rPr>
      <w:t>VenturePulse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2E"/>
    <w:rsid w:val="0015074B"/>
    <w:rsid w:val="0029639D"/>
    <w:rsid w:val="00326F90"/>
    <w:rsid w:val="00AA1D8D"/>
    <w:rsid w:val="00B47730"/>
    <w:rsid w:val="00CB0664"/>
    <w:rsid w:val="00D90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0B6F5C6-0D16-43DB-B813-8FB153B6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903DE"/>
    <w:pPr>
      <w:spacing w:after="0" w:line="240" w:lineRule="auto"/>
    </w:pPr>
    <w:rPr>
      <w:rFonts w:cs="Times New Roman"/>
      <w:sz w:val="21"/>
    </w:rPr>
  </w:style>
  <w:style w:type="paragraph" w:styleId="TOC2">
    <w:name w:val="toc 2"/>
    <w:basedOn w:val="Normal"/>
    <w:next w:val="Normal"/>
    <w:autoRedefine/>
    <w:uiPriority w:val="39"/>
    <w:semiHidden/>
    <w:unhideWhenUsed/>
    <w:rsid w:val="00D903D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903D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23EB6-E9D8-41ED-9C02-F93DE708A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2256</Words>
  <Characters>12360</Characters>
  <Application>Microsoft Office Word</Application>
  <DocSecurity>0</DocSecurity>
  <Lines>242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2026-10-26T06:41:00Z</dcterms:modified>
  <cp:category/>
</cp:coreProperties>
</file>