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3019" w:rsidRDefault="00543019">
      <w:pPr>
        <w:spacing w:after="480" w:line="240" w:lineRule="auto"/>
      </w:pPr>
      <w:bookmarkStart w:id="0" w:name="_GoBack"/>
      <w:bookmarkEnd w:id="0"/>
    </w:p>
    <w:p w:rsidR="00543019" w:rsidRDefault="003B2A3C">
      <w:pPr>
        <w:jc w:val="center"/>
      </w:pPr>
      <w:r>
        <w:rPr>
          <w:rFonts w:cs="Times New Roman"/>
          <w:b/>
          <w:sz w:val="36"/>
        </w:rPr>
        <w:t>SMART ALCOHOL INTOXICATION DETECTION AND PREVENTION SYSTEM USING AI</w:t>
      </w:r>
    </w:p>
    <w:p w:rsidR="00543019" w:rsidRDefault="003B2A3C">
      <w:pPr>
        <w:spacing w:after="280"/>
        <w:jc w:val="center"/>
      </w:pPr>
      <w:r>
        <w:rPr>
          <w:rFonts w:cs="Times New Roman"/>
          <w:b/>
          <w:sz w:val="28"/>
        </w:rPr>
        <w:t>Conclusion, Future Scope and References</w:t>
      </w:r>
    </w:p>
    <w:p w:rsidR="00543019" w:rsidRDefault="003B2A3C">
      <w:pPr>
        <w:spacing w:after="40"/>
        <w:jc w:val="center"/>
      </w:pPr>
      <w:r>
        <w:rPr>
          <w:rFonts w:cs="Times New Roman"/>
        </w:rPr>
        <w:t>Department of Computer Science and Engineering, TKR College of Engineering and Technology (Autonomous)</w:t>
      </w:r>
    </w:p>
    <w:p w:rsidR="00543019" w:rsidRDefault="003B2A3C">
      <w:pPr>
        <w:spacing w:after="240"/>
        <w:jc w:val="center"/>
      </w:pPr>
      <w:r>
        <w:rPr>
          <w:rFonts w:cs="Times New Roman"/>
        </w:rPr>
        <w:t xml:space="preserve">Batch A6 (CSE-A)  ·  Academic year </w:t>
      </w:r>
      <w:r>
        <w:rPr>
          <w:rFonts w:cs="Times New Roman"/>
        </w:rPr>
        <w:t>[ACADEMIC YEAR]</w:t>
      </w:r>
    </w:p>
    <w:p w:rsidR="00543019" w:rsidRDefault="003B2A3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543019">
        <w:trPr>
          <w:cantSplit/>
          <w:tblHeader/>
          <w:jc w:val="center"/>
        </w:trPr>
        <w:tc>
          <w:tcPr>
            <w:tcW w:w="1008" w:type="dxa"/>
            <w:shd w:val="clear" w:color="auto" w:fill="1B2A41"/>
          </w:tcPr>
          <w:p w:rsidR="00543019" w:rsidRDefault="003B2A3C">
            <w:pPr>
              <w:spacing w:after="40" w:line="240" w:lineRule="auto"/>
              <w:jc w:val="center"/>
            </w:pPr>
            <w:r>
              <w:rPr>
                <w:rFonts w:cs="Times New Roman"/>
                <w:b/>
                <w:color w:val="FFFFFF"/>
                <w:sz w:val="22"/>
              </w:rPr>
              <w:t>S.No.</w:t>
            </w:r>
          </w:p>
        </w:tc>
        <w:tc>
          <w:tcPr>
            <w:tcW w:w="4896" w:type="dxa"/>
            <w:shd w:val="clear" w:color="auto" w:fill="1B2A41"/>
          </w:tcPr>
          <w:p w:rsidR="00543019" w:rsidRDefault="003B2A3C">
            <w:pPr>
              <w:spacing w:after="40" w:line="240" w:lineRule="auto"/>
              <w:jc w:val="center"/>
            </w:pPr>
            <w:r>
              <w:rPr>
                <w:rFonts w:cs="Times New Roman"/>
                <w:b/>
                <w:color w:val="FFFFFF"/>
                <w:sz w:val="22"/>
              </w:rPr>
              <w:t>Student name</w:t>
            </w:r>
          </w:p>
        </w:tc>
        <w:tc>
          <w:tcPr>
            <w:tcW w:w="2592" w:type="dxa"/>
            <w:shd w:val="clear" w:color="auto" w:fill="1B2A41"/>
          </w:tcPr>
          <w:p w:rsidR="00543019" w:rsidRDefault="003B2A3C">
            <w:pPr>
              <w:spacing w:after="40" w:line="240" w:lineRule="auto"/>
              <w:jc w:val="center"/>
            </w:pPr>
            <w:r>
              <w:rPr>
                <w:rFonts w:cs="Times New Roman"/>
                <w:b/>
                <w:color w:val="FFFFFF"/>
                <w:sz w:val="22"/>
              </w:rPr>
              <w:t>Roll number</w:t>
            </w:r>
          </w:p>
        </w:tc>
      </w:tr>
      <w:tr w:rsidR="00543019">
        <w:trPr>
          <w:cantSplit/>
          <w:jc w:val="center"/>
        </w:trPr>
        <w:tc>
          <w:tcPr>
            <w:tcW w:w="1008" w:type="dxa"/>
          </w:tcPr>
          <w:p w:rsidR="00543019" w:rsidRDefault="003B2A3C">
            <w:pPr>
              <w:spacing w:after="40" w:line="240" w:lineRule="auto"/>
              <w:jc w:val="center"/>
            </w:pPr>
            <w:r>
              <w:rPr>
                <w:rFonts w:cs="Times New Roman"/>
                <w:sz w:val="22"/>
              </w:rPr>
              <w:t>1</w:t>
            </w:r>
          </w:p>
        </w:tc>
        <w:tc>
          <w:tcPr>
            <w:tcW w:w="4896" w:type="dxa"/>
          </w:tcPr>
          <w:p w:rsidR="00543019" w:rsidRDefault="003B2A3C">
            <w:pPr>
              <w:spacing w:after="40" w:line="240" w:lineRule="auto"/>
              <w:jc w:val="left"/>
            </w:pPr>
            <w:r>
              <w:rPr>
                <w:rFonts w:cs="Times New Roman"/>
                <w:sz w:val="22"/>
              </w:rPr>
              <w:t>B PRANITHA</w:t>
            </w:r>
          </w:p>
        </w:tc>
        <w:tc>
          <w:tcPr>
            <w:tcW w:w="2592" w:type="dxa"/>
          </w:tcPr>
          <w:p w:rsidR="00543019" w:rsidRDefault="003B2A3C">
            <w:pPr>
              <w:spacing w:after="40" w:line="240" w:lineRule="auto"/>
              <w:jc w:val="center"/>
            </w:pPr>
            <w:r>
              <w:rPr>
                <w:rFonts w:cs="Times New Roman"/>
                <w:sz w:val="22"/>
              </w:rPr>
              <w:t>23K91A0522</w:t>
            </w:r>
          </w:p>
        </w:tc>
      </w:tr>
      <w:tr w:rsidR="00543019">
        <w:trPr>
          <w:cantSplit/>
          <w:jc w:val="center"/>
        </w:trPr>
        <w:tc>
          <w:tcPr>
            <w:tcW w:w="1008" w:type="dxa"/>
          </w:tcPr>
          <w:p w:rsidR="00543019" w:rsidRDefault="003B2A3C">
            <w:pPr>
              <w:spacing w:after="40" w:line="240" w:lineRule="auto"/>
              <w:jc w:val="center"/>
            </w:pPr>
            <w:r>
              <w:rPr>
                <w:rFonts w:cs="Times New Roman"/>
                <w:sz w:val="22"/>
              </w:rPr>
              <w:t>2</w:t>
            </w:r>
          </w:p>
        </w:tc>
        <w:tc>
          <w:tcPr>
            <w:tcW w:w="4896" w:type="dxa"/>
          </w:tcPr>
          <w:p w:rsidR="00543019" w:rsidRDefault="003B2A3C">
            <w:pPr>
              <w:spacing w:after="40" w:line="240" w:lineRule="auto"/>
              <w:jc w:val="left"/>
            </w:pPr>
            <w:r>
              <w:rPr>
                <w:rFonts w:cs="Times New Roman"/>
                <w:sz w:val="22"/>
              </w:rPr>
              <w:t>BANTU KAVYA</w:t>
            </w:r>
          </w:p>
        </w:tc>
        <w:tc>
          <w:tcPr>
            <w:tcW w:w="2592" w:type="dxa"/>
          </w:tcPr>
          <w:p w:rsidR="00543019" w:rsidRDefault="003B2A3C">
            <w:pPr>
              <w:spacing w:after="40" w:line="240" w:lineRule="auto"/>
              <w:jc w:val="center"/>
            </w:pPr>
            <w:r>
              <w:rPr>
                <w:rFonts w:cs="Times New Roman"/>
                <w:sz w:val="22"/>
              </w:rPr>
              <w:t>23K91A0531</w:t>
            </w:r>
          </w:p>
        </w:tc>
      </w:tr>
      <w:tr w:rsidR="00543019">
        <w:trPr>
          <w:cantSplit/>
          <w:jc w:val="center"/>
        </w:trPr>
        <w:tc>
          <w:tcPr>
            <w:tcW w:w="1008" w:type="dxa"/>
          </w:tcPr>
          <w:p w:rsidR="00543019" w:rsidRDefault="003B2A3C">
            <w:pPr>
              <w:spacing w:after="40" w:line="240" w:lineRule="auto"/>
              <w:jc w:val="center"/>
            </w:pPr>
            <w:r>
              <w:rPr>
                <w:rFonts w:cs="Times New Roman"/>
                <w:sz w:val="22"/>
              </w:rPr>
              <w:t>3</w:t>
            </w:r>
          </w:p>
        </w:tc>
        <w:tc>
          <w:tcPr>
            <w:tcW w:w="4896" w:type="dxa"/>
          </w:tcPr>
          <w:p w:rsidR="00543019" w:rsidRDefault="003B2A3C">
            <w:pPr>
              <w:spacing w:after="40" w:line="240" w:lineRule="auto"/>
              <w:jc w:val="left"/>
            </w:pPr>
            <w:r>
              <w:rPr>
                <w:rFonts w:cs="Times New Roman"/>
                <w:sz w:val="22"/>
              </w:rPr>
              <w:t>DASARI VIVEKA SARVESHWARI</w:t>
            </w:r>
          </w:p>
        </w:tc>
        <w:tc>
          <w:tcPr>
            <w:tcW w:w="2592" w:type="dxa"/>
          </w:tcPr>
          <w:p w:rsidR="00543019" w:rsidRDefault="003B2A3C">
            <w:pPr>
              <w:spacing w:after="40" w:line="240" w:lineRule="auto"/>
              <w:jc w:val="center"/>
            </w:pPr>
            <w:r>
              <w:rPr>
                <w:rFonts w:cs="Times New Roman"/>
                <w:sz w:val="22"/>
              </w:rPr>
              <w:t>23K91A0560</w:t>
            </w:r>
          </w:p>
        </w:tc>
      </w:tr>
      <w:tr w:rsidR="00543019">
        <w:trPr>
          <w:cantSplit/>
          <w:jc w:val="center"/>
        </w:trPr>
        <w:tc>
          <w:tcPr>
            <w:tcW w:w="1008" w:type="dxa"/>
          </w:tcPr>
          <w:p w:rsidR="00543019" w:rsidRDefault="003B2A3C">
            <w:pPr>
              <w:spacing w:after="40" w:line="240" w:lineRule="auto"/>
              <w:jc w:val="center"/>
            </w:pPr>
            <w:r>
              <w:rPr>
                <w:rFonts w:cs="Times New Roman"/>
                <w:sz w:val="22"/>
              </w:rPr>
              <w:t>4</w:t>
            </w:r>
          </w:p>
        </w:tc>
        <w:tc>
          <w:tcPr>
            <w:tcW w:w="4896" w:type="dxa"/>
          </w:tcPr>
          <w:p w:rsidR="00543019" w:rsidRDefault="003B2A3C">
            <w:pPr>
              <w:spacing w:after="40" w:line="240" w:lineRule="auto"/>
              <w:jc w:val="left"/>
            </w:pPr>
            <w:r>
              <w:rPr>
                <w:rFonts w:cs="Times New Roman"/>
                <w:sz w:val="22"/>
              </w:rPr>
              <w:t>BEKKAM VAMSHI</w:t>
            </w:r>
          </w:p>
        </w:tc>
        <w:tc>
          <w:tcPr>
            <w:tcW w:w="2592" w:type="dxa"/>
          </w:tcPr>
          <w:p w:rsidR="00543019" w:rsidRDefault="003B2A3C">
            <w:pPr>
              <w:spacing w:after="40" w:line="240" w:lineRule="auto"/>
              <w:jc w:val="center"/>
            </w:pPr>
            <w:r>
              <w:rPr>
                <w:rFonts w:cs="Times New Roman"/>
                <w:sz w:val="22"/>
              </w:rPr>
              <w:t>23K91A0534</w:t>
            </w:r>
          </w:p>
        </w:tc>
      </w:tr>
    </w:tbl>
    <w:p w:rsidR="00543019" w:rsidRDefault="00543019">
      <w:pPr>
        <w:spacing w:after="80" w:line="80" w:lineRule="exact"/>
      </w:pPr>
    </w:p>
    <w:p w:rsidR="00543019" w:rsidRDefault="003B2A3C">
      <w:pPr>
        <w:spacing w:after="200"/>
        <w:jc w:val="center"/>
      </w:pPr>
      <w:r>
        <w:rPr>
          <w:rFonts w:cs="Times New Roman"/>
          <w:b/>
        </w:rPr>
        <w:t>Project guide:</w:t>
      </w:r>
      <w:r>
        <w:rPr>
          <w:rFonts w:cs="Times New Roman"/>
        </w:rPr>
        <w:t xml:space="preserve"> N. PADMAVATHI</w:t>
      </w:r>
    </w:p>
    <w:p w:rsidR="00543019" w:rsidRDefault="003B2A3C">
      <w:r>
        <w:rPr>
          <w:rFonts w:cs="Times New Roman"/>
          <w:i/>
          <w:sz w:val="21"/>
        </w:rPr>
        <w:t xml:space="preserve">Chapter and </w:t>
      </w:r>
      <w:r>
        <w:rPr>
          <w:rFonts w:cs="Times New Roman"/>
          <w:i/>
          <w:sz w:val="21"/>
        </w:rPr>
        <w:t>section numbers quoted in the text (for example Section 6.6 or Chapter 8) refer to the full project report, 17.Final Document. Figures and tables in this document are numbered from 1.</w:t>
      </w:r>
    </w:p>
    <w:p w:rsidR="00543019" w:rsidRDefault="003B2A3C">
      <w:pPr>
        <w:pStyle w:val="Heading1"/>
      </w:pPr>
      <w:r>
        <w:t>CHAPTER 9: CONCLUSION</w:t>
      </w:r>
    </w:p>
    <w:p w:rsidR="00543019" w:rsidRDefault="003B2A3C">
      <w:pPr>
        <w:pStyle w:val="Heading2"/>
      </w:pPr>
      <w:r>
        <w:t>9.1 Summary</w:t>
      </w:r>
    </w:p>
    <w:p w:rsidR="00543019" w:rsidRDefault="003B2A3C">
      <w:r>
        <w:rPr>
          <w:rFonts w:cs="Times New Roman"/>
        </w:rPr>
        <w:t xml:space="preserve">The project set out to build a smart alcohol intoxication detection and prevention system using ai. What it delivers is narrower and is stated here without softening: the </w:t>
      </w:r>
      <w:r>
        <w:rPr>
          <w:rFonts w:cs="Times New Roman"/>
          <w:b/>
        </w:rPr>
        <w:t>Smart Rider Impairment Warning System for Two-Wheelers</w:t>
      </w:r>
      <w:r>
        <w:rPr>
          <w:rFonts w:cs="Times New Roman"/>
        </w:rPr>
        <w:t xml:space="preserve">, a stationary demonstration prototype that reads a person's eyes and head through a webcam and returns </w:t>
      </w:r>
      <w:r>
        <w:rPr>
          <w:rFonts w:cs="Times New Roman"/>
          <w:i/>
        </w:rPr>
        <w:t>Normal</w:t>
      </w:r>
      <w:r>
        <w:rPr>
          <w:rFonts w:cs="Times New Roman"/>
        </w:rPr>
        <w:t xml:space="preserve">, </w:t>
      </w:r>
      <w:r>
        <w:rPr>
          <w:rFonts w:cs="Times New Roman"/>
          <w:i/>
        </w:rPr>
        <w:t>Possible impairment or drowsiness</w:t>
      </w:r>
      <w:r>
        <w:rPr>
          <w:rFonts w:cs="Times New Roman"/>
        </w:rPr>
        <w:t xml:space="preserve"> or </w:t>
      </w:r>
      <w:r>
        <w:rPr>
          <w:rFonts w:cs="Times New Roman"/>
          <w:i/>
        </w:rPr>
        <w:t>Unable to assess</w:t>
      </w:r>
      <w:r>
        <w:rPr>
          <w:rFonts w:cs="Times New Roman"/>
        </w:rPr>
        <w:t>, with the reason. A MediaPipe face-landmark module, a six-point eye aspect ratio, seven qu</w:t>
      </w:r>
      <w:r>
        <w:rPr>
          <w:rFonts w:cs="Times New Roman"/>
        </w:rPr>
        <w:t>ality gates, personal calibration and explainable duration rules run on a laptop CPU at about 30 frames per second; a Tkinter application and a FastAPI + React application expose them, and a numeric event history, CSV export, a threshold editor and an offl</w:t>
      </w:r>
      <w:r>
        <w:rPr>
          <w:rFonts w:cs="Times New Roman"/>
        </w:rPr>
        <w:t xml:space="preserve">ine evaluation pipeline complete the system. </w:t>
      </w:r>
      <w:r>
        <w:rPr>
          <w:rFonts w:cs="Times New Roman"/>
          <w:b/>
        </w:rPr>
        <w:t>It does not detect alcohol, it contains no deep-learning classifier, and it takes no prevention action.</w:t>
      </w:r>
    </w:p>
    <w:p w:rsidR="00543019" w:rsidRDefault="003B2A3C">
      <w:pPr>
        <w:pStyle w:val="Heading2"/>
      </w:pPr>
      <w:r>
        <w:t>9.2 Objectives achieved</w:t>
      </w:r>
    </w:p>
    <w:p w:rsidR="00543019" w:rsidRDefault="003B2A3C">
      <w:r>
        <w:rPr>
          <w:rFonts w:cs="Times New Roman"/>
        </w:rPr>
        <w:t>Of the six objectives in the batch description, two were achieved (real-time face a</w:t>
      </w:r>
      <w:r>
        <w:rPr>
          <w:rFonts w:cs="Times New Roman"/>
        </w:rPr>
        <w:t>nd landmark capture; continuous inference with an alert), two were achieved in part (impairment cues - without gaze deviation; evaluation - on eye state and degraded conditions, not on intoxication), and two were not achieved: training a deep-learning sobe</w:t>
      </w:r>
      <w:r>
        <w:rPr>
          <w:rFonts w:cs="Times New Roman"/>
        </w:rPr>
        <w:t>r-</w:t>
      </w:r>
      <w:r>
        <w:rPr>
          <w:rFonts w:cs="Times New Roman"/>
        </w:rPr>
        <w:lastRenderedPageBreak/>
        <w:t>versus-intoxicated classifier and integrating a prevention action. The reasons are plain. No labelled intoxication recordings were available to the team, and a classifier trained on synthetic data would have been meaningless; and a prevention action need</w:t>
      </w:r>
      <w:r>
        <w:rPr>
          <w:rFonts w:cs="Times New Roman"/>
        </w:rPr>
        <w:t>s vehicle integration that a laptop demonstration cannot provide. Section 8.11 gives the objective-by-objective table.</w:t>
      </w:r>
    </w:p>
    <w:p w:rsidR="00543019" w:rsidRDefault="003B2A3C">
      <w:pPr>
        <w:pStyle w:val="Heading2"/>
      </w:pPr>
      <w:r>
        <w:t>9.3 Key findings</w:t>
      </w:r>
    </w:p>
    <w:p w:rsidR="00543019" w:rsidRDefault="003B2A3C">
      <w:pPr>
        <w:spacing w:after="60"/>
        <w:ind w:left="720" w:hanging="360"/>
      </w:pPr>
      <w:r>
        <w:rPr>
          <w:rFonts w:cs="Times New Roman"/>
        </w:rPr>
        <w:t>•  On 2,423 public face images the six-point EAR computed by the shipped pipeline separates closed from open eyes with a</w:t>
      </w:r>
      <w:r>
        <w:rPr>
          <w:rFonts w:cs="Times New Roman"/>
        </w:rPr>
        <w:t xml:space="preserve"> ROC AUC of 0.989; at the default threshold of 0.21 closed-eye recall is 99.2% but open-eye specificity is only 85.5%. A threshold near 0.17 gives 94.7% accuracy in-sample, so the default is conservative and personal calibration matters.</w:t>
      </w:r>
    </w:p>
    <w:p w:rsidR="00543019" w:rsidRDefault="003B2A3C">
      <w:pPr>
        <w:spacing w:after="60"/>
        <w:ind w:left="720" w:hanging="360"/>
      </w:pPr>
      <w:r>
        <w:rPr>
          <w:rFonts w:cs="Times New Roman"/>
        </w:rPr>
        <w:t>•  The quality gat</w:t>
      </w:r>
      <w:r>
        <w:rPr>
          <w:rFonts w:cs="Times New Roman"/>
        </w:rPr>
        <w:t>es fail safe (no verdict) for darkness, blur, opaque sunglasses and a covered eye, but they are strict: only 44.1% of the 100-pixel images pass, and halving brightness already blocks assessment.</w:t>
      </w:r>
    </w:p>
    <w:p w:rsidR="00543019" w:rsidRDefault="003B2A3C">
      <w:pPr>
        <w:spacing w:after="60"/>
        <w:ind w:left="720" w:hanging="360"/>
      </w:pPr>
      <w:r>
        <w:rPr>
          <w:rFonts w:cs="Times New Roman"/>
        </w:rPr>
        <w:t>•  On scripted streams the default rules never fire on normal</w:t>
      </w:r>
      <w:r>
        <w:rPr>
          <w:rFonts w:cs="Times New Roman"/>
        </w:rPr>
        <w:t xml:space="preserve"> blinks and warn only after about 2.5 s of continuous closure; a closure of two seconds goes unwarned. Closure and persistence trade sensitivity against false alerts, and their sum is what counts.</w:t>
      </w:r>
    </w:p>
    <w:p w:rsidR="00543019" w:rsidRDefault="003B2A3C">
      <w:pPr>
        <w:spacing w:after="60"/>
        <w:ind w:left="720" w:hanging="360"/>
      </w:pPr>
      <w:r>
        <w:rPr>
          <w:rFonts w:cs="Times New Roman"/>
        </w:rPr>
        <w:t>•  A camera frame costs about 31 ms through the API on a la</w:t>
      </w:r>
      <w:r>
        <w:rPr>
          <w:rFonts w:cs="Times New Roman"/>
        </w:rPr>
        <w:t>ptop CPU, so the design is not computation-limited.</w:t>
      </w:r>
    </w:p>
    <w:p w:rsidR="00543019" w:rsidRDefault="003B2A3C">
      <w:pPr>
        <w:spacing w:after="60"/>
        <w:ind w:left="720" w:hanging="360"/>
      </w:pPr>
      <w:r>
        <w:rPr>
          <w:rFonts w:cs="Times New Roman"/>
        </w:rPr>
        <w:t>•  The software is verified by 20 unit tests and 34 API checks, and every figure in this report can be regenerated by the measurement scripts.</w:t>
      </w:r>
    </w:p>
    <w:p w:rsidR="00543019" w:rsidRDefault="003B2A3C">
      <w:pPr>
        <w:spacing w:after="60"/>
        <w:ind w:left="720" w:hanging="360"/>
      </w:pPr>
      <w:r>
        <w:rPr>
          <w:rFonts w:cs="Times New Roman"/>
        </w:rPr>
        <w:t xml:space="preserve">•  The offline research pipeline works mechanically, but its </w:t>
      </w:r>
      <w:r>
        <w:rPr>
          <w:rFonts w:cs="Times New Roman"/>
        </w:rPr>
        <w:t>only report comes from a synthetic file; it is a pipeline check, not a result.</w:t>
      </w:r>
    </w:p>
    <w:p w:rsidR="00543019" w:rsidRDefault="003B2A3C">
      <w:pPr>
        <w:pStyle w:val="Heading2"/>
      </w:pPr>
      <w:r>
        <w:t>9.4 Practical applications</w:t>
      </w:r>
    </w:p>
    <w:p w:rsidR="00543019" w:rsidRDefault="003B2A3C">
      <w:pPr>
        <w:spacing w:after="60"/>
        <w:ind w:left="720" w:hanging="360"/>
      </w:pPr>
      <w:r>
        <w:rPr>
          <w:rFonts w:cs="Times New Roman"/>
        </w:rPr>
        <w:t>•  A teaching and demonstration tool for how eye-based fatigue cues, quality gating and explainable rules work, with scripted scenarios that need no c</w:t>
      </w:r>
      <w:r>
        <w:rPr>
          <w:rFonts w:cs="Times New Roman"/>
        </w:rPr>
        <w:t>amera.</w:t>
      </w:r>
    </w:p>
    <w:p w:rsidR="00543019" w:rsidRDefault="003B2A3C">
      <w:pPr>
        <w:spacing w:after="60"/>
        <w:ind w:left="720" w:hanging="360"/>
      </w:pPr>
      <w:r>
        <w:rPr>
          <w:rFonts w:cs="Times New Roman"/>
        </w:rPr>
        <w:t>•  A reusable software scaffold - vision module, rule engine, API, web interface and evaluation pipeline - for a future study that does have labelled data.</w:t>
      </w:r>
    </w:p>
    <w:p w:rsidR="00543019" w:rsidRDefault="003B2A3C">
      <w:pPr>
        <w:spacing w:after="60"/>
        <w:ind w:left="720" w:hanging="360"/>
      </w:pPr>
      <w:r>
        <w:rPr>
          <w:rFonts w:cs="Times New Roman"/>
        </w:rPr>
        <w:t>•  A drowsiness-type warning prototype that could, after validation on riders, support a fati</w:t>
      </w:r>
      <w:r>
        <w:rPr>
          <w:rFonts w:cs="Times New Roman"/>
        </w:rPr>
        <w:t>gue-awareness feature; it should not be used to decide whether anyone is fit to ride.</w:t>
      </w:r>
    </w:p>
    <w:p w:rsidR="00543019" w:rsidRDefault="003B2A3C">
      <w:pPr>
        <w:pStyle w:val="Heading2"/>
      </w:pPr>
      <w:r>
        <w:t>9.5 Known limitations</w:t>
      </w:r>
    </w:p>
    <w:p w:rsidR="00543019" w:rsidRDefault="003B2A3C">
      <w:pPr>
        <w:spacing w:after="60"/>
        <w:ind w:left="720" w:hanging="360"/>
      </w:pPr>
      <w:r>
        <w:rPr>
          <w:rFonts w:cs="Times New Roman"/>
        </w:rPr>
        <w:t xml:space="preserve">•  </w:t>
      </w:r>
      <w:r>
        <w:rPr>
          <w:rFonts w:cs="Times New Roman"/>
          <w:b/>
        </w:rPr>
        <w:t>Not an alcohol detector.</w:t>
      </w:r>
      <w:r>
        <w:rPr>
          <w:rFonts w:cs="Times New Roman"/>
        </w:rPr>
        <w:t xml:space="preserve"> Closed eyes, low EAR and head tilt have many causes (sleep loss, medication, illness, eye shape); open eyes do not estab</w:t>
      </w:r>
      <w:r>
        <w:rPr>
          <w:rFonts w:cs="Times New Roman"/>
        </w:rPr>
        <w:t>lish alertness, and sober people can be flagged.</w:t>
      </w:r>
    </w:p>
    <w:p w:rsidR="00543019" w:rsidRDefault="003B2A3C">
      <w:pPr>
        <w:spacing w:after="60"/>
        <w:ind w:left="720" w:hanging="360"/>
      </w:pPr>
      <w:r>
        <w:rPr>
          <w:rFonts w:cs="Times New Roman"/>
        </w:rPr>
        <w:lastRenderedPageBreak/>
        <w:t xml:space="preserve">•  </w:t>
      </w:r>
      <w:r>
        <w:rPr>
          <w:rFonts w:cs="Times New Roman"/>
          <w:b/>
        </w:rPr>
        <w:t>No intoxication data.</w:t>
      </w:r>
      <w:r>
        <w:rPr>
          <w:rFonts w:cs="Times New Roman"/>
        </w:rPr>
        <w:t xml:space="preserve"> No labelled sober/intoxicated recordings exist in this project, so no accuracy for intoxication is claimed, and the deep-learning classifier requested in the objectives was not built</w:t>
      </w:r>
      <w:r>
        <w:rPr>
          <w:rFonts w:cs="Times New Roman"/>
        </w:rPr>
        <w:t>.</w:t>
      </w:r>
    </w:p>
    <w:p w:rsidR="00543019" w:rsidRDefault="003B2A3C">
      <w:pPr>
        <w:spacing w:after="60"/>
        <w:ind w:left="720" w:hanging="360"/>
      </w:pPr>
      <w:r>
        <w:rPr>
          <w:rFonts w:cs="Times New Roman"/>
        </w:rPr>
        <w:t xml:space="preserve">•  </w:t>
      </w:r>
      <w:r>
        <w:rPr>
          <w:rFonts w:cs="Times New Roman"/>
          <w:b/>
        </w:rPr>
        <w:t>No prevention action.</w:t>
      </w:r>
      <w:r>
        <w:rPr>
          <w:rFonts w:cs="Times New Roman"/>
        </w:rPr>
        <w:t xml:space="preserve"> The system warns on screen and by bell only; it cannot stop a vehicle or notify a contact.</w:t>
      </w:r>
    </w:p>
    <w:p w:rsidR="00543019" w:rsidRDefault="003B2A3C">
      <w:pPr>
        <w:spacing w:after="60"/>
        <w:ind w:left="720" w:hanging="360"/>
      </w:pPr>
      <w:r>
        <w:rPr>
          <w:rFonts w:cs="Times New Roman"/>
        </w:rPr>
        <w:t xml:space="preserve">•  </w:t>
      </w:r>
      <w:r>
        <w:rPr>
          <w:rFonts w:cs="Times New Roman"/>
          <w:b/>
        </w:rPr>
        <w:t>Conservative default threshold.</w:t>
      </w:r>
      <w:r>
        <w:rPr>
          <w:rFonts w:cs="Times New Roman"/>
        </w:rPr>
        <w:t xml:space="preserve"> On public data the default EAR threshold of 0.21 labels about one open eye in seven as closed; calibrat</w:t>
      </w:r>
      <w:r>
        <w:rPr>
          <w:rFonts w:cs="Times New Roman"/>
        </w:rPr>
        <w:t>ion is the intended remedy but was not measured per person.</w:t>
      </w:r>
    </w:p>
    <w:p w:rsidR="00543019" w:rsidRDefault="003B2A3C">
      <w:pPr>
        <w:spacing w:after="60"/>
        <w:ind w:left="720" w:hanging="360"/>
      </w:pPr>
      <w:r>
        <w:rPr>
          <w:rFonts w:cs="Times New Roman"/>
        </w:rPr>
        <w:t xml:space="preserve">•  </w:t>
      </w:r>
      <w:r>
        <w:rPr>
          <w:rFonts w:cs="Times New Roman"/>
          <w:b/>
        </w:rPr>
        <w:t>Strict quality gates.</w:t>
      </w:r>
      <w:r>
        <w:rPr>
          <w:rFonts w:cs="Times New Roman"/>
        </w:rPr>
        <w:t xml:space="preserve"> Roughly 44 % of the 100-pixel test images pass; halving the image brightness already blocks assessment; a few sunglasses images passed the gates.</w:t>
      </w:r>
    </w:p>
    <w:p w:rsidR="00543019" w:rsidRDefault="003B2A3C">
      <w:pPr>
        <w:spacing w:after="60"/>
        <w:ind w:left="720" w:hanging="360"/>
      </w:pPr>
      <w:r>
        <w:rPr>
          <w:rFonts w:cs="Times New Roman"/>
        </w:rPr>
        <w:t xml:space="preserve">•  </w:t>
      </w:r>
      <w:r>
        <w:rPr>
          <w:rFonts w:cs="Times New Roman"/>
          <w:b/>
        </w:rPr>
        <w:t>Slow reaction.</w:t>
      </w:r>
      <w:r>
        <w:rPr>
          <w:rFonts w:cs="Times New Roman"/>
        </w:rPr>
        <w:t xml:space="preserve"> With th</w:t>
      </w:r>
      <w:r>
        <w:rPr>
          <w:rFonts w:cs="Times New Roman"/>
        </w:rPr>
        <w:t>e default rules a closure shorter than about 2.5 s never warns, and the closed-fraction rule needs 8-10 s of history.</w:t>
      </w:r>
    </w:p>
    <w:p w:rsidR="00543019" w:rsidRDefault="003B2A3C">
      <w:pPr>
        <w:spacing w:after="60"/>
        <w:ind w:left="720" w:hanging="360"/>
      </w:pPr>
      <w:r>
        <w:rPr>
          <w:rFonts w:cs="Times New Roman"/>
        </w:rPr>
        <w:t xml:space="preserve">•  </w:t>
      </w:r>
      <w:r>
        <w:rPr>
          <w:rFonts w:cs="Times New Roman"/>
          <w:b/>
        </w:rPr>
        <w:t>Single data source and machine.</w:t>
      </w:r>
      <w:r>
        <w:rPr>
          <w:rFonts w:cs="Times New Roman"/>
        </w:rPr>
        <w:t xml:space="preserve"> The eye-state measurement uses one public still-image dataset whose classes come from different sources</w:t>
      </w:r>
      <w:r>
        <w:rPr>
          <w:rFonts w:cs="Times New Roman"/>
        </w:rPr>
        <w:t>; no helmet, visor, glasses-in-motion, vibration, night or demographic study was done; all timings come from one i5-12500 laptop without a GPU.</w:t>
      </w:r>
    </w:p>
    <w:p w:rsidR="00543019" w:rsidRDefault="003B2A3C">
      <w:r>
        <w:rPr>
          <w:rFonts w:cs="Times New Roman"/>
        </w:rPr>
        <w:t xml:space="preserve">The two figures below summarise the measurements behind the conclusions: the first shows how closed-eye recall, </w:t>
      </w:r>
      <w:r>
        <w:rPr>
          <w:rFonts w:cs="Times New Roman"/>
        </w:rPr>
        <w:t>open-eye specificity and accuracy move with the EAR threshold on the public CEW images (the default of 0.21 is conservative), the second shows the ROC curve of EAR on the images that passed the quality gates. Both concern eye state only, not alcohol.</w:t>
      </w:r>
    </w:p>
    <w:p w:rsidR="00543019" w:rsidRDefault="003B2A3C">
      <w:pPr>
        <w:keepNext/>
        <w:spacing w:after="80" w:line="240" w:lineRule="auto"/>
        <w:jc w:val="center"/>
      </w:pPr>
      <w:r>
        <w:rPr>
          <w:noProof/>
        </w:rPr>
        <w:drawing>
          <wp:inline distT="0" distB="0" distL="0" distR="0">
            <wp:extent cx="4937760" cy="2931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weep.png"/>
                    <pic:cNvPicPr/>
                  </pic:nvPicPr>
                  <pic:blipFill>
                    <a:blip r:embed="rId8"/>
                    <a:stretch>
                      <a:fillRect/>
                    </a:stretch>
                  </pic:blipFill>
                  <pic:spPr>
                    <a:xfrm>
                      <a:off x="0" y="0"/>
                      <a:ext cx="4937760" cy="2931795"/>
                    </a:xfrm>
                    <a:prstGeom prst="rect">
                      <a:avLst/>
                    </a:prstGeom>
                  </pic:spPr>
                </pic:pic>
              </a:graphicData>
            </a:graphic>
          </wp:inline>
        </w:drawing>
      </w:r>
    </w:p>
    <w:p w:rsidR="00543019" w:rsidRDefault="003B2A3C">
      <w:pPr>
        <w:pStyle w:val="Caption"/>
      </w:pPr>
      <w:r>
        <w:rPr>
          <w:rFonts w:cs="Times New Roman"/>
        </w:rPr>
        <w:t>Fig</w:t>
      </w:r>
      <w:r>
        <w:rPr>
          <w:rFonts w:cs="Times New Roman"/>
        </w:rPr>
        <w:t xml:space="preserve">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Accuracy, closed-eye recall and open-eye specificity against the EAR threshold</w:t>
      </w:r>
    </w:p>
    <w:p w:rsidR="00543019" w:rsidRDefault="003B2A3C">
      <w:pPr>
        <w:keepNext/>
        <w:spacing w:after="80" w:line="240" w:lineRule="auto"/>
        <w:jc w:val="center"/>
      </w:pPr>
      <w:r>
        <w:rPr>
          <w:noProof/>
        </w:rPr>
        <w:lastRenderedPageBreak/>
        <w:drawing>
          <wp:inline distT="0" distB="0" distL="0" distR="0">
            <wp:extent cx="4206240" cy="2497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png"/>
                    <pic:cNvPicPr/>
                  </pic:nvPicPr>
                  <pic:blipFill>
                    <a:blip r:embed="rId9"/>
                    <a:stretch>
                      <a:fillRect/>
                    </a:stretch>
                  </pic:blipFill>
                  <pic:spPr>
                    <a:xfrm>
                      <a:off x="0" y="0"/>
                      <a:ext cx="4206240" cy="2497455"/>
                    </a:xfrm>
                    <a:prstGeom prst="rect">
                      <a:avLst/>
                    </a:prstGeom>
                  </pic:spPr>
                </pic:pic>
              </a:graphicData>
            </a:graphic>
          </wp:inline>
        </w:drawing>
      </w:r>
    </w:p>
    <w:p w:rsidR="00543019" w:rsidRDefault="003B2A3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ROC curve of the eye aspect ratio as a closed-eye score (assessed CEW images)</w:t>
      </w:r>
    </w:p>
    <w:p w:rsidR="00543019" w:rsidRDefault="003B2A3C">
      <w:pPr>
        <w:pStyle w:val="Heading1"/>
        <w:pageBreakBefore/>
      </w:pPr>
      <w:r>
        <w:lastRenderedPageBreak/>
        <w:t>CHAPTER 10: FUTURE SCOPE</w:t>
      </w:r>
    </w:p>
    <w:p w:rsidR="00543019" w:rsidRDefault="003B2A3C">
      <w:pPr>
        <w:pStyle w:val="Heading2"/>
      </w:pPr>
      <w:r>
        <w:t xml:space="preserve">10.1 </w:t>
      </w:r>
      <w:r>
        <w:t>Improvements to the model</w:t>
      </w:r>
    </w:p>
    <w:p w:rsidR="00543019" w:rsidRDefault="003B2A3C">
      <w:pPr>
        <w:spacing w:after="60"/>
        <w:ind w:left="720" w:hanging="360"/>
      </w:pPr>
      <w:r>
        <w:rPr>
          <w:rFonts w:cs="Times New Roman"/>
        </w:rPr>
        <w:t xml:space="preserve">•  </w:t>
      </w:r>
      <w:r>
        <w:rPr>
          <w:rFonts w:cs="Times New Roman"/>
          <w:b/>
        </w:rPr>
        <w:t>Collect a consented, labelled sober/intoxicated video dataset</w:t>
      </w:r>
      <w:r>
        <w:rPr>
          <w:rFonts w:cs="Times New Roman"/>
        </w:rPr>
        <w:t xml:space="preserve"> under a documented protocol with measured blood or breath alcohol, and evaluate with subject-disjoint splits through the existing </w:t>
      </w:r>
      <w:r>
        <w:rPr>
          <w:rFonts w:ascii="Consolas" w:eastAsia="Consolas" w:hAnsi="Consolas" w:cs="Consolas"/>
          <w:sz w:val="21"/>
        </w:rPr>
        <w:t>research.py</w:t>
      </w:r>
      <w:r>
        <w:rPr>
          <w:rFonts w:cs="Times New Roman"/>
        </w:rPr>
        <w:t>. Companion work reports</w:t>
      </w:r>
      <w:r>
        <w:rPr>
          <w:rFonts w:cs="Times New Roman"/>
        </w:rPr>
        <w:t xml:space="preserve"> high accuracy on its own video data [2], but its source videos are not generally available, so new data would be needed.</w:t>
      </w:r>
    </w:p>
    <w:p w:rsidR="00543019" w:rsidRDefault="003B2A3C">
      <w:pPr>
        <w:spacing w:after="60"/>
        <w:ind w:left="720" w:hanging="360"/>
      </w:pPr>
      <w:r>
        <w:rPr>
          <w:rFonts w:cs="Times New Roman"/>
        </w:rPr>
        <w:t xml:space="preserve">•  </w:t>
      </w:r>
      <w:r>
        <w:rPr>
          <w:rFonts w:cs="Times New Roman"/>
          <w:b/>
        </w:rPr>
        <w:t>Add gaze and eye-movement features</w:t>
      </w:r>
      <w:r>
        <w:rPr>
          <w:rFonts w:cs="Times New Roman"/>
        </w:rPr>
        <w:t xml:space="preserve"> (saccade speed, nystagmus-like jitter, gaze deviation) that the objectives name and that standar</w:t>
      </w:r>
      <w:r>
        <w:rPr>
          <w:rFonts w:cs="Times New Roman"/>
        </w:rPr>
        <w:t>dised field tests use as cues [18].</w:t>
      </w:r>
    </w:p>
    <w:p w:rsidR="00543019" w:rsidRDefault="003B2A3C">
      <w:pPr>
        <w:spacing w:after="60"/>
        <w:ind w:left="720" w:hanging="360"/>
      </w:pPr>
      <w:r>
        <w:rPr>
          <w:rFonts w:cs="Times New Roman"/>
        </w:rPr>
        <w:t xml:space="preserve">•  </w:t>
      </w:r>
      <w:r>
        <w:rPr>
          <w:rFonts w:cs="Times New Roman"/>
          <w:b/>
        </w:rPr>
        <w:t>Learn a temporal model</w:t>
      </w:r>
      <w:r>
        <w:rPr>
          <w:rFonts w:cs="Times New Roman"/>
        </w:rPr>
        <w:t xml:space="preserve"> over windows of EAR, roll and gaze features, and compare it with the rules on the same held-out subjects before letting it influence live decisions.</w:t>
      </w:r>
    </w:p>
    <w:p w:rsidR="00543019" w:rsidRDefault="003B2A3C">
      <w:pPr>
        <w:spacing w:after="60"/>
        <w:ind w:left="720" w:hanging="360"/>
      </w:pPr>
      <w:r>
        <w:rPr>
          <w:rFonts w:cs="Times New Roman"/>
        </w:rPr>
        <w:t xml:space="preserve">•  </w:t>
      </w:r>
      <w:r>
        <w:rPr>
          <w:rFonts w:cs="Times New Roman"/>
          <w:b/>
        </w:rPr>
        <w:t>Tune thresholds on held-out subjects</w:t>
      </w:r>
      <w:r>
        <w:rPr>
          <w:rFonts w:cs="Times New Roman"/>
        </w:rPr>
        <w:t>, repl</w:t>
      </w:r>
      <w:r>
        <w:rPr>
          <w:rFonts w:cs="Times New Roman"/>
        </w:rPr>
        <w:t>acing the in-sample 0.17 suggestion; compare personal calibration with a fixed lower threshold using several images per person.</w:t>
      </w:r>
    </w:p>
    <w:p w:rsidR="00543019" w:rsidRDefault="003B2A3C">
      <w:pPr>
        <w:spacing w:after="60"/>
        <w:ind w:left="720" w:hanging="360"/>
      </w:pPr>
      <w:r>
        <w:rPr>
          <w:rFonts w:cs="Times New Roman"/>
        </w:rPr>
        <w:t xml:space="preserve">•  </w:t>
      </w:r>
      <w:r>
        <w:rPr>
          <w:rFonts w:cs="Times New Roman"/>
          <w:b/>
        </w:rPr>
        <w:t>Make the gates helmet-, visor- and low-light-aware</w:t>
      </w:r>
      <w:r>
        <w:rPr>
          <w:rFonts w:cs="Times New Roman"/>
        </w:rPr>
        <w:t>: replace the brightness-sensitive sharpness gate by a scale-free measure a</w:t>
      </w:r>
      <w:r>
        <w:rPr>
          <w:rFonts w:cs="Times New Roman"/>
        </w:rPr>
        <w:t>nd test on night and helmet footage.</w:t>
      </w:r>
    </w:p>
    <w:p w:rsidR="00543019" w:rsidRDefault="003B2A3C">
      <w:pPr>
        <w:pStyle w:val="Heading2"/>
      </w:pPr>
      <w:r>
        <w:t>10.2 Additional features</w:t>
      </w:r>
    </w:p>
    <w:p w:rsidR="00543019" w:rsidRDefault="003B2A3C">
      <w:pPr>
        <w:spacing w:after="60"/>
        <w:ind w:left="720" w:hanging="360"/>
      </w:pPr>
      <w:r>
        <w:rPr>
          <w:rFonts w:cs="Times New Roman"/>
        </w:rPr>
        <w:t>•  A prevention action: a vehicle interface that inhibits ignition or notifies a registered contact, designed with a safety review and a fail-safe default.</w:t>
      </w:r>
    </w:p>
    <w:p w:rsidR="00543019" w:rsidRDefault="003B2A3C">
      <w:pPr>
        <w:spacing w:after="60"/>
        <w:ind w:left="720" w:hanging="360"/>
      </w:pPr>
      <w:r>
        <w:rPr>
          <w:rFonts w:cs="Times New Roman"/>
        </w:rPr>
        <w:t>•  A voice or haptic channel and weara</w:t>
      </w:r>
      <w:r>
        <w:rPr>
          <w:rFonts w:cs="Times New Roman"/>
        </w:rPr>
        <w:t>ble sensing, in the spirit of the base paper's voice interface [1] and of smartwatch-based drunk-driving detection [3].</w:t>
      </w:r>
    </w:p>
    <w:p w:rsidR="00543019" w:rsidRDefault="003B2A3C">
      <w:pPr>
        <w:spacing w:after="60"/>
        <w:ind w:left="720" w:hanging="360"/>
      </w:pPr>
      <w:r>
        <w:rPr>
          <w:rFonts w:cs="Times New Roman"/>
        </w:rPr>
        <w:t>•  Real user accounts, per-rider calibration profiles and an audit log.</w:t>
      </w:r>
    </w:p>
    <w:p w:rsidR="00543019" w:rsidRDefault="003B2A3C">
      <w:pPr>
        <w:spacing w:after="60"/>
        <w:ind w:left="720" w:hanging="360"/>
      </w:pPr>
      <w:r>
        <w:rPr>
          <w:rFonts w:cs="Times New Roman"/>
        </w:rPr>
        <w:t>•  A reviewer screen that lets a researcher label events, feedin</w:t>
      </w:r>
      <w:r>
        <w:rPr>
          <w:rFonts w:cs="Times New Roman"/>
        </w:rPr>
        <w:t>g the evaluation pipeline.</w:t>
      </w:r>
    </w:p>
    <w:p w:rsidR="00543019" w:rsidRDefault="003B2A3C">
      <w:pPr>
        <w:pStyle w:val="Heading2"/>
      </w:pPr>
      <w:r>
        <w:t>10.3 Scalability and deployment</w:t>
      </w:r>
    </w:p>
    <w:p w:rsidR="00543019" w:rsidRDefault="003B2A3C">
      <w:pPr>
        <w:spacing w:after="60"/>
        <w:ind w:left="720" w:hanging="360"/>
      </w:pPr>
      <w:r>
        <w:rPr>
          <w:rFonts w:cs="Times New Roman"/>
        </w:rPr>
        <w:t>•  Run the vision path on an embedded device with an infrared camera, as the base paper does on a Jetson Orin Nano, and measure frame rate, heat and power on the motorcycle.</w:t>
      </w:r>
    </w:p>
    <w:p w:rsidR="00543019" w:rsidRDefault="003B2A3C">
      <w:pPr>
        <w:spacing w:after="60"/>
        <w:ind w:left="720" w:hanging="360"/>
      </w:pPr>
      <w:r>
        <w:rPr>
          <w:rFonts w:cs="Times New Roman"/>
        </w:rPr>
        <w:t xml:space="preserve">•  Package the API and </w:t>
      </w:r>
      <w:r>
        <w:rPr>
          <w:rFonts w:cs="Times New Roman"/>
        </w:rPr>
        <w:t>the built front end in a container behind a reverse proxy with HTTPS, replace the demo token by a proper identity provider, and add rate limits.</w:t>
      </w:r>
    </w:p>
    <w:p w:rsidR="00543019" w:rsidRDefault="003B2A3C">
      <w:pPr>
        <w:spacing w:after="60"/>
        <w:ind w:left="720" w:hanging="360"/>
      </w:pPr>
      <w:r>
        <w:rPr>
          <w:rFonts w:cs="Times New Roman"/>
        </w:rPr>
        <w:t xml:space="preserve">•  Add monitoring of latency, the share of </w:t>
      </w:r>
      <w:r>
        <w:rPr>
          <w:rFonts w:cs="Times New Roman"/>
          <w:i/>
        </w:rPr>
        <w:t>Unable to assess</w:t>
      </w:r>
      <w:r>
        <w:rPr>
          <w:rFonts w:cs="Times New Roman"/>
        </w:rPr>
        <w:t xml:space="preserve"> and alert counts to detect drift in the field.</w:t>
      </w:r>
    </w:p>
    <w:p w:rsidR="00543019" w:rsidRDefault="003B2A3C">
      <w:pPr>
        <w:pStyle w:val="Heading2"/>
      </w:pPr>
      <w:r>
        <w:lastRenderedPageBreak/>
        <w:t>10.4</w:t>
      </w:r>
      <w:r>
        <w:t xml:space="preserve"> Further research</w:t>
      </w:r>
    </w:p>
    <w:p w:rsidR="00543019" w:rsidRDefault="003B2A3C">
      <w:pPr>
        <w:spacing w:after="60"/>
        <w:ind w:left="720" w:hanging="360"/>
      </w:pPr>
      <w:r>
        <w:rPr>
          <w:rFonts w:cs="Times New Roman"/>
        </w:rPr>
        <w:t xml:space="preserve">•  A formal user and rider study with ethics approval, including false-alarm tolerance, alert design and over-reliance on a </w:t>
      </w:r>
      <w:r>
        <w:rPr>
          <w:rFonts w:cs="Times New Roman"/>
          <w:i/>
        </w:rPr>
        <w:t>Normal</w:t>
      </w:r>
      <w:r>
        <w:rPr>
          <w:rFonts w:cs="Times New Roman"/>
        </w:rPr>
        <w:t xml:space="preserve"> verdict.</w:t>
      </w:r>
    </w:p>
    <w:p w:rsidR="00543019" w:rsidRDefault="003B2A3C">
      <w:pPr>
        <w:spacing w:after="60"/>
        <w:ind w:left="720" w:hanging="360"/>
      </w:pPr>
      <w:r>
        <w:rPr>
          <w:rFonts w:cs="Times New Roman"/>
        </w:rPr>
        <w:t>•  Fusion of camera cues with driving behaviour or wearable signals, since wrist-based detection h</w:t>
      </w:r>
      <w:r>
        <w:rPr>
          <w:rFonts w:cs="Times New Roman"/>
        </w:rPr>
        <w:t>as shown promise on a test track [3].</w:t>
      </w:r>
    </w:p>
    <w:p w:rsidR="00543019" w:rsidRDefault="003B2A3C">
      <w:pPr>
        <w:spacing w:after="60"/>
        <w:ind w:left="720" w:hanging="360"/>
      </w:pPr>
      <w:r>
        <w:rPr>
          <w:rFonts w:cs="Times New Roman"/>
        </w:rPr>
        <w:t>•  Fairness testing across skin tones, ages, eye shapes and eyewear, which this project could not do.</w:t>
      </w:r>
    </w:p>
    <w:p w:rsidR="00543019" w:rsidRDefault="003B2A3C">
      <w:pPr>
        <w:spacing w:after="60"/>
        <w:ind w:left="720" w:hanging="360"/>
      </w:pPr>
      <w:r>
        <w:rPr>
          <w:rFonts w:cs="Times New Roman"/>
        </w:rPr>
        <w:t>•  Comparison of EAR variants, such as the upper-lid EAR-4 of the base paper, against six-point EAR on the same data</w:t>
      </w:r>
      <w:r>
        <w:rPr>
          <w:rFonts w:cs="Times New Roman"/>
        </w:rPr>
        <w:t>.</w:t>
      </w:r>
    </w:p>
    <w:p w:rsidR="00543019" w:rsidRDefault="003B2A3C">
      <w:pPr>
        <w:pStyle w:val="Heading1"/>
        <w:pageBreakBefore/>
      </w:pPr>
      <w:r>
        <w:lastRenderedPageBreak/>
        <w:t>REFERENCES</w:t>
      </w:r>
    </w:p>
    <w:p w:rsidR="00543019" w:rsidRDefault="003B2A3C">
      <w:pPr>
        <w:spacing w:after="100" w:line="276" w:lineRule="auto"/>
        <w:ind w:left="648" w:hanging="648"/>
      </w:pPr>
      <w:r>
        <w:rPr>
          <w:rFonts w:cs="Times New Roman"/>
          <w:sz w:val="20"/>
        </w:rPr>
        <w:t xml:space="preserve">[1]  C.-L. Feng and T.-H. S. Li, "Robust driver state assessment on an embedded platform using a fuzzy belief rule-based fusion of eye aspect ratio and voice commands," IEEE Access, vol. 14, pp. 36158-36175, 2026, doi: </w:t>
      </w:r>
      <w:r>
        <w:rPr>
          <w:rFonts w:cs="Times New Roman"/>
          <w:sz w:val="20"/>
        </w:rPr>
        <w:t>10.1109/ACCESS.2026.3670924.</w:t>
      </w:r>
    </w:p>
    <w:p w:rsidR="00543019" w:rsidRDefault="003B2A3C">
      <w:pPr>
        <w:spacing w:after="100" w:line="276" w:lineRule="auto"/>
        <w:ind w:left="648" w:hanging="648"/>
      </w:pPr>
      <w:r>
        <w:rPr>
          <w:rFonts w:cs="Times New Roman"/>
          <w:sz w:val="20"/>
        </w:rPr>
        <w:t>[2]  B. Baroutian, A. Aghaei, and M. Ebrahimi Moghaddam, "Detection of intoxicated individuals from facial video sequences via a recurrent fusion model," arXiv:2512.04536, Dec. 2025.</w:t>
      </w:r>
    </w:p>
    <w:p w:rsidR="00543019" w:rsidRDefault="003B2A3C">
      <w:pPr>
        <w:spacing w:after="100" w:line="276" w:lineRule="auto"/>
        <w:ind w:left="648" w:hanging="648"/>
      </w:pPr>
      <w:r>
        <w:rPr>
          <w:rFonts w:cs="Times New Roman"/>
          <w:sz w:val="20"/>
        </w:rPr>
        <w:t>[3]  R. Deuber et al., "Detecting drunk driv</w:t>
      </w:r>
      <w:r>
        <w:rPr>
          <w:rFonts w:cs="Times New Roman"/>
          <w:sz w:val="20"/>
        </w:rPr>
        <w:t>ing using off-the-shelf smartwatches," arXiv:2605.23663, May 2026 (manuscript under review).</w:t>
      </w:r>
    </w:p>
    <w:p w:rsidR="00543019" w:rsidRDefault="003B2A3C">
      <w:pPr>
        <w:spacing w:after="100" w:line="276" w:lineRule="auto"/>
        <w:ind w:left="648" w:hanging="648"/>
      </w:pPr>
      <w:r>
        <w:rPr>
          <w:rFonts w:cs="Times New Roman"/>
          <w:sz w:val="20"/>
        </w:rPr>
        <w:t>[4]  V. Mehta, D. P. Yadav, S. S. Katta, and A. Dhall, "DIF: Dataset of perceived intoxicated faces for drunk person identification," arXiv:1805.10030, 2018 (revis</w:t>
      </w:r>
      <w:r>
        <w:rPr>
          <w:rFonts w:cs="Times New Roman"/>
          <w:sz w:val="20"/>
        </w:rPr>
        <w:t>ed 2019).</w:t>
      </w:r>
    </w:p>
    <w:p w:rsidR="00543019" w:rsidRDefault="003B2A3C">
      <w:pPr>
        <w:spacing w:after="100" w:line="276" w:lineRule="auto"/>
        <w:ind w:left="648" w:hanging="648"/>
      </w:pPr>
      <w:r>
        <w:rPr>
          <w:rFonts w:cs="Times New Roman"/>
          <w:sz w:val="20"/>
        </w:rPr>
        <w:t>[5]  L. P. Acharya, "Infrared deep learning system for non-invasive drunk detection and alcohol level classification," Iowa State Univ., Ames, IA, USA, Dec. 2024. [Online]. Available: https://dr.lib.iastate.edu/handle/20.500.12876/105973</w:t>
      </w:r>
    </w:p>
    <w:p w:rsidR="00543019" w:rsidRDefault="003B2A3C">
      <w:pPr>
        <w:spacing w:after="100" w:line="276" w:lineRule="auto"/>
        <w:ind w:left="648" w:hanging="648"/>
      </w:pPr>
      <w:r>
        <w:rPr>
          <w:rFonts w:cs="Times New Roman"/>
          <w:sz w:val="20"/>
        </w:rPr>
        <w:t xml:space="preserve">[6]  F. </w:t>
      </w:r>
      <w:r>
        <w:rPr>
          <w:rFonts w:cs="Times New Roman"/>
          <w:sz w:val="20"/>
        </w:rPr>
        <w:t>Deiana, J. Jackson, and C. Periago, "Development and verification of a testing methodology for driver alcohol intoxication detection systems," in Human Systems Engineering and Design (IHSED2026): Future Trends and Applications, AHFE Int., 2026, doi: 10.549</w:t>
      </w:r>
      <w:r>
        <w:rPr>
          <w:rFonts w:cs="Times New Roman"/>
          <w:sz w:val="20"/>
        </w:rPr>
        <w:t>41/ahfe1008145.</w:t>
      </w:r>
    </w:p>
    <w:p w:rsidR="00543019" w:rsidRDefault="003B2A3C">
      <w:pPr>
        <w:spacing w:after="100" w:line="276" w:lineRule="auto"/>
        <w:ind w:left="648" w:hanging="648"/>
      </w:pPr>
      <w:r>
        <w:rPr>
          <w:rFonts w:cs="Times New Roman"/>
          <w:sz w:val="20"/>
        </w:rPr>
        <w:t>[7]  "Alcohol detection and vehicle immobilization system for enhanced taxi driver safety and drunk driving prevention," in Proc. 9th Int. Conf. Trends in Electronics and Informatics (ICOEI), 2026 (entry recorded in the batch literature sur</w:t>
      </w:r>
      <w:r>
        <w:rPr>
          <w:rFonts w:cs="Times New Roman"/>
          <w:sz w:val="20"/>
        </w:rPr>
        <w:t>vey; not located online).</w:t>
      </w:r>
    </w:p>
    <w:p w:rsidR="00543019" w:rsidRDefault="003B2A3C">
      <w:pPr>
        <w:spacing w:after="100" w:line="276" w:lineRule="auto"/>
        <w:ind w:left="648" w:hanging="648"/>
      </w:pPr>
      <w:r>
        <w:rPr>
          <w:rFonts w:cs="Times New Roman"/>
          <w:sz w:val="20"/>
        </w:rPr>
        <w:t>[8]  C.-H. Chai, S. F. Abdul Razak, S. Yogarayan, and R. Shanmugam, "Drunk driver detection using thermal facial images," Information, vol. 16, no. 5, Art. no. 413, 2025.</w:t>
      </w:r>
    </w:p>
    <w:p w:rsidR="00543019" w:rsidRDefault="003B2A3C">
      <w:pPr>
        <w:spacing w:after="100" w:line="276" w:lineRule="auto"/>
        <w:ind w:left="648" w:hanging="648"/>
      </w:pPr>
      <w:r>
        <w:rPr>
          <w:rFonts w:cs="Times New Roman"/>
          <w:sz w:val="20"/>
        </w:rPr>
        <w:t>[9]  T. Soukupova and J. Cech, "Real-time eye blink detecti</w:t>
      </w:r>
      <w:r>
        <w:rPr>
          <w:rFonts w:cs="Times New Roman"/>
          <w:sz w:val="20"/>
        </w:rPr>
        <w:t>on using facial landmarks," in Proc. 21st Computer Vision Winter Workshop, Rimske Toplice, Slovenia, Feb. 2016.</w:t>
      </w:r>
    </w:p>
    <w:p w:rsidR="00543019" w:rsidRDefault="003B2A3C">
      <w:pPr>
        <w:spacing w:after="100" w:line="276" w:lineRule="auto"/>
        <w:ind w:left="648" w:hanging="648"/>
      </w:pPr>
      <w:r>
        <w:rPr>
          <w:rFonts w:cs="Times New Roman"/>
          <w:sz w:val="20"/>
        </w:rPr>
        <w:t>[10]  Y. Kartynnik, A. Ablavatski, I. Grishchenko, and M. Grundmann, "Real-time facial surface geometry from monocular video on mobile GPUs," ar</w:t>
      </w:r>
      <w:r>
        <w:rPr>
          <w:rFonts w:cs="Times New Roman"/>
          <w:sz w:val="20"/>
        </w:rPr>
        <w:t>Xiv:1907.06724, 2019.</w:t>
      </w:r>
    </w:p>
    <w:p w:rsidR="00543019" w:rsidRDefault="003B2A3C">
      <w:pPr>
        <w:spacing w:after="100" w:line="276" w:lineRule="auto"/>
        <w:ind w:left="648" w:hanging="648"/>
      </w:pPr>
      <w:r>
        <w:rPr>
          <w:rFonts w:cs="Times New Roman"/>
          <w:sz w:val="20"/>
        </w:rPr>
        <w:t>[11]  C. Lugaresi et al., "MediaPipe: A framework for building perception pipelines," arXiv:1906.08172, 2019.</w:t>
      </w:r>
    </w:p>
    <w:p w:rsidR="00543019" w:rsidRDefault="003B2A3C">
      <w:pPr>
        <w:spacing w:after="100" w:line="276" w:lineRule="auto"/>
        <w:ind w:left="648" w:hanging="648"/>
      </w:pPr>
      <w:r>
        <w:rPr>
          <w:rFonts w:cs="Times New Roman"/>
          <w:sz w:val="20"/>
        </w:rPr>
        <w:t>[12]  F. Song, X. Tan, X. Liu, and S. Chen, "Eyes closeness detection from still images with multi-scale histograms of princ</w:t>
      </w:r>
      <w:r>
        <w:rPr>
          <w:rFonts w:cs="Times New Roman"/>
          <w:sz w:val="20"/>
        </w:rPr>
        <w:t>ipal oriented gradients," Pattern Recognit., vol. 47, no. 9, pp. 2825-2838, Sep. 2014, doi: 10.1016/j.patcog.2014.03.024.</w:t>
      </w:r>
    </w:p>
    <w:p w:rsidR="00543019" w:rsidRDefault="003B2A3C">
      <w:pPr>
        <w:spacing w:after="100" w:line="276" w:lineRule="auto"/>
        <w:ind w:left="648" w:hanging="648"/>
      </w:pPr>
      <w:r>
        <w:rPr>
          <w:rFonts w:cs="Times New Roman"/>
          <w:sz w:val="20"/>
        </w:rPr>
        <w:t xml:space="preserve">[13]  G. B. Huang, M. Ramesh, T. Berg, and E. Learned-Miller, "Labeled faces in the wild: A database for studying face recognition in </w:t>
      </w:r>
      <w:r>
        <w:rPr>
          <w:rFonts w:cs="Times New Roman"/>
          <w:sz w:val="20"/>
        </w:rPr>
        <w:t>unconstrained environments," Univ. Massachusetts Amherst, Amherst, MA, USA, Tech. Rep. 07-49, Oct. 2007.</w:t>
      </w:r>
    </w:p>
    <w:p w:rsidR="00543019" w:rsidRDefault="003B2A3C">
      <w:pPr>
        <w:spacing w:after="100" w:line="276" w:lineRule="auto"/>
        <w:ind w:left="648" w:hanging="648"/>
      </w:pPr>
      <w:r>
        <w:rPr>
          <w:rFonts w:cs="Times New Roman"/>
          <w:sz w:val="20"/>
        </w:rPr>
        <w:t>[14]  C.-H. Weng, Y.-H. Lai, and S.-H. Lai, "Driver drowsiness detection via a hierarchical temporal deep belief network," in Computer Vision - ACCV 20</w:t>
      </w:r>
      <w:r>
        <w:rPr>
          <w:rFonts w:cs="Times New Roman"/>
          <w:sz w:val="20"/>
        </w:rPr>
        <w:t>16 Workshops (Lecture Notes in Computer Science). Cham, Switzerland: Springer, 2017, pp. 117-133, doi: 10.1007/978-3-319-54526-4_9.</w:t>
      </w:r>
    </w:p>
    <w:p w:rsidR="00543019" w:rsidRDefault="003B2A3C">
      <w:pPr>
        <w:spacing w:after="100" w:line="276" w:lineRule="auto"/>
        <w:ind w:left="648" w:hanging="648"/>
      </w:pPr>
      <w:r>
        <w:rPr>
          <w:rFonts w:cs="Times New Roman"/>
          <w:sz w:val="20"/>
        </w:rPr>
        <w:t>[15]  Federal Motor Carrier Safety Administration, "PERCLOS: A valid psychophysiological measure of alertness as assessed by</w:t>
      </w:r>
      <w:r>
        <w:rPr>
          <w:rFonts w:cs="Times New Roman"/>
          <w:sz w:val="20"/>
        </w:rPr>
        <w:t xml:space="preserve"> psychomotor vigilance," Tech Brief FHWA-MCRT-98-006, Washington, DC, USA, Oct. 1998.</w:t>
      </w:r>
    </w:p>
    <w:p w:rsidR="00543019" w:rsidRDefault="003B2A3C">
      <w:pPr>
        <w:spacing w:after="100" w:line="276" w:lineRule="auto"/>
        <w:ind w:left="648" w:hanging="648"/>
      </w:pPr>
      <w:r>
        <w:rPr>
          <w:rFonts w:cs="Times New Roman"/>
          <w:sz w:val="20"/>
        </w:rPr>
        <w:t>[16]  J. A. Stern, D. Boyer, and D. Schroeder, "Blink rate: A possible measure of fatigue," Human Factors, vol. 36, no. 2, pp. 285-297, 1994, doi: 10.1177/001872089403600</w:t>
      </w:r>
      <w:r>
        <w:rPr>
          <w:rFonts w:cs="Times New Roman"/>
          <w:sz w:val="20"/>
        </w:rPr>
        <w:t>209.</w:t>
      </w:r>
    </w:p>
    <w:p w:rsidR="00543019" w:rsidRDefault="003B2A3C">
      <w:pPr>
        <w:spacing w:after="100" w:line="276" w:lineRule="auto"/>
        <w:ind w:left="648" w:hanging="648"/>
      </w:pPr>
      <w:r>
        <w:rPr>
          <w:rFonts w:cs="Times New Roman"/>
          <w:sz w:val="20"/>
        </w:rPr>
        <w:t>[17]  World Health Organization, "Global status report on road safety 2023," Geneva, Switzerland, Dec. 2023.</w:t>
      </w:r>
    </w:p>
    <w:p w:rsidR="00543019" w:rsidRDefault="003B2A3C">
      <w:pPr>
        <w:spacing w:after="100" w:line="276" w:lineRule="auto"/>
        <w:ind w:left="648" w:hanging="648"/>
      </w:pPr>
      <w:r>
        <w:rPr>
          <w:rFonts w:cs="Times New Roman"/>
          <w:sz w:val="20"/>
        </w:rPr>
        <w:t xml:space="preserve">[18]  National Highway Traffic Safety Administration, "DWI detection and standardized field sobriety testing (SFST) participant manual," U.S. </w:t>
      </w:r>
      <w:r>
        <w:rPr>
          <w:rFonts w:cs="Times New Roman"/>
          <w:sz w:val="20"/>
        </w:rPr>
        <w:t>Dept. Transportation, Washington, DC, USA, 2023 ed.</w:t>
      </w:r>
    </w:p>
    <w:p w:rsidR="00543019" w:rsidRDefault="003B2A3C">
      <w:pPr>
        <w:spacing w:after="100" w:line="276" w:lineRule="auto"/>
        <w:ind w:left="648" w:hanging="648"/>
      </w:pPr>
      <w:r>
        <w:rPr>
          <w:rFonts w:cs="Times New Roman"/>
          <w:sz w:val="20"/>
        </w:rPr>
        <w:t>[19]  G. Bradski, "The OpenCV library," Dr. Dobb's Journal of Software Tools, 2000.</w:t>
      </w:r>
    </w:p>
    <w:p w:rsidR="00543019" w:rsidRDefault="003B2A3C">
      <w:pPr>
        <w:spacing w:after="100" w:line="276" w:lineRule="auto"/>
        <w:ind w:left="648" w:hanging="648"/>
      </w:pPr>
      <w:r>
        <w:rPr>
          <w:rFonts w:cs="Times New Roman"/>
          <w:sz w:val="20"/>
        </w:rPr>
        <w:lastRenderedPageBreak/>
        <w:t>[20]  C. R. Harris et al., "Array programming with NumPy," Nature, vol. 585, pp. 357-362, Sep. 2020, doi: 10.1038/s41586</w:t>
      </w:r>
      <w:r>
        <w:rPr>
          <w:rFonts w:cs="Times New Roman"/>
          <w:sz w:val="20"/>
        </w:rPr>
        <w:t>-020-2649-2.</w:t>
      </w:r>
    </w:p>
    <w:p w:rsidR="00543019" w:rsidRDefault="003B2A3C">
      <w:pPr>
        <w:spacing w:after="100" w:line="276" w:lineRule="auto"/>
        <w:ind w:left="648" w:hanging="648"/>
      </w:pPr>
      <w:r>
        <w:rPr>
          <w:rFonts w:cs="Times New Roman"/>
          <w:sz w:val="20"/>
        </w:rPr>
        <w:t>[21]  J. D. Hunter, "Matplotlib: A 2D graphics environment," Comput. Sci. Eng., vol. 9, no. 3, pp. 90-95, 2007, doi: 10.1109/MCSE.2007.55.</w:t>
      </w:r>
    </w:p>
    <w:p w:rsidR="00543019" w:rsidRDefault="003B2A3C">
      <w:pPr>
        <w:spacing w:after="100" w:line="276" w:lineRule="auto"/>
        <w:ind w:left="648" w:hanging="648"/>
      </w:pPr>
      <w:r>
        <w:rPr>
          <w:rFonts w:cs="Times New Roman"/>
          <w:sz w:val="20"/>
        </w:rPr>
        <w:t>[22]  S. Ramirez, "FastAPI framework, high performance, easy to learn, fast to code, ready for productio</w:t>
      </w:r>
      <w:r>
        <w:rPr>
          <w:rFonts w:cs="Times New Roman"/>
          <w:sz w:val="20"/>
        </w:rPr>
        <w:t>n." [Online]. Available: https://fastapi.tiangolo.com</w:t>
      </w:r>
    </w:p>
    <w:p w:rsidR="00543019" w:rsidRDefault="003B2A3C">
      <w:pPr>
        <w:spacing w:after="100" w:line="276" w:lineRule="auto"/>
        <w:ind w:left="648" w:hanging="648"/>
      </w:pPr>
      <w:r>
        <w:rPr>
          <w:rFonts w:cs="Times New Roman"/>
          <w:sz w:val="20"/>
        </w:rPr>
        <w:t>[23]  Meta Platforms, Inc., "React: The library for web and native user interfaces." [Online]. Available: https://react.dev</w:t>
      </w:r>
    </w:p>
    <w:p w:rsidR="00543019" w:rsidRDefault="003B2A3C">
      <w:pPr>
        <w:spacing w:after="100" w:line="276" w:lineRule="auto"/>
        <w:ind w:left="648" w:hanging="648"/>
      </w:pPr>
      <w:r>
        <w:rPr>
          <w:rFonts w:cs="Times New Roman"/>
          <w:sz w:val="20"/>
        </w:rPr>
        <w:t xml:space="preserve">[24]  Google AI Edge, "Face landmarker guide for Python," MediaPipe Solutions </w:t>
      </w:r>
      <w:r>
        <w:rPr>
          <w:rFonts w:cs="Times New Roman"/>
          <w:sz w:val="20"/>
        </w:rPr>
        <w:t>documentation. [Online]. Available: https://ai.google.dev/edge/mediapipe/solutions/vision/face_landmarker/python</w:t>
      </w:r>
    </w:p>
    <w:p w:rsidR="00543019" w:rsidRDefault="003B2A3C">
      <w:pPr>
        <w:spacing w:after="100" w:line="276" w:lineRule="auto"/>
        <w:ind w:left="648" w:hanging="648"/>
      </w:pPr>
      <w:r>
        <w:rPr>
          <w:rFonts w:cs="Times New Roman"/>
          <w:sz w:val="20"/>
        </w:rPr>
        <w:t>[25]  T. Fawcett, "An introduction to ROC analysis," Pattern Recognit. Lett., vol. 27, no. 8, pp. 861-874, Jun. 2006, doi: 10.1016/j.patrec.200</w:t>
      </w:r>
      <w:r>
        <w:rPr>
          <w:rFonts w:cs="Times New Roman"/>
          <w:sz w:val="20"/>
        </w:rPr>
        <w:t>5.10.010.</w:t>
      </w:r>
    </w:p>
    <w:p w:rsidR="00543019" w:rsidRDefault="003B2A3C">
      <w:pPr>
        <w:spacing w:after="100" w:line="276" w:lineRule="auto"/>
        <w:ind w:left="648" w:hanging="648"/>
      </w:pPr>
      <w:r>
        <w:rPr>
          <w:rFonts w:cs="Times New Roman"/>
          <w:sz w:val="20"/>
        </w:rPr>
        <w:t>[26]  D. M. W. Powers, "Evaluation: From precision, recall and F-measure to ROC, informedness, markedness and correlation," J. Mach. Learn. Technol., vol. 2, no. 1, 2011, arXiv:2010.16061.</w:t>
      </w:r>
    </w:p>
    <w:p w:rsidR="00543019" w:rsidRDefault="003B2A3C">
      <w:pPr>
        <w:spacing w:after="100" w:line="276" w:lineRule="auto"/>
        <w:ind w:left="648" w:hanging="648"/>
      </w:pPr>
      <w:r>
        <w:rPr>
          <w:rFonts w:cs="Times New Roman"/>
          <w:sz w:val="20"/>
        </w:rPr>
        <w:t>[27]  S. Abtahi, M. Omidyeganeh, S. Shirmohammadi, and B.</w:t>
      </w:r>
      <w:r>
        <w:rPr>
          <w:rFonts w:cs="Times New Roman"/>
          <w:sz w:val="20"/>
        </w:rPr>
        <w:t xml:space="preserve"> Hariri, "YawDD: A yawning detection dataset," in Proc. 5th ACM Multimedia Syst. Conf. (MMSys), 2014, pp. 24-28, doi: 10.1145/2557642.2563678.</w:t>
      </w:r>
    </w:p>
    <w:p w:rsidR="00543019" w:rsidRDefault="003B2A3C">
      <w:pPr>
        <w:spacing w:after="100" w:line="276" w:lineRule="auto"/>
        <w:ind w:left="648" w:hanging="648"/>
      </w:pPr>
      <w:r>
        <w:rPr>
          <w:rFonts w:cs="Times New Roman"/>
          <w:sz w:val="20"/>
        </w:rPr>
        <w:t>[28]  Q. Ji, Z. Zhu, and P. Lan, "Real-time nonintrusive monitoring and prediction of driver fatigue," IEEE Trans</w:t>
      </w:r>
      <w:r>
        <w:rPr>
          <w:rFonts w:cs="Times New Roman"/>
          <w:sz w:val="20"/>
        </w:rPr>
        <w:t>. Veh. Technol., vol. 53, no. 4, pp. 1052-1068, Jul. 2004, doi: 10.1109/TVT.2004.830974.</w:t>
      </w:r>
    </w:p>
    <w:p w:rsidR="00543019" w:rsidRDefault="003B2A3C">
      <w:pPr>
        <w:spacing w:after="100" w:line="276" w:lineRule="auto"/>
        <w:ind w:left="648" w:hanging="648"/>
      </w:pPr>
      <w:r>
        <w:rPr>
          <w:rFonts w:cs="Times New Roman"/>
          <w:sz w:val="20"/>
        </w:rPr>
        <w:t>[29]  A. Radford, J. W. Kim, T. Xu, G. Brockman, C. McLeavey, and I. Sutskever, "Robust speech recognition via large-scale weak supervision," in Proc. Int. Conf. Mach.</w:t>
      </w:r>
      <w:r>
        <w:rPr>
          <w:rFonts w:cs="Times New Roman"/>
          <w:sz w:val="20"/>
        </w:rPr>
        <w:t xml:space="preserve"> Learn. (ICML), PMLR vol. 202, 2023, pp. 28492-28518.</w:t>
      </w:r>
    </w:p>
    <w:p w:rsidR="00543019" w:rsidRDefault="003B2A3C">
      <w:pPr>
        <w:spacing w:after="100" w:line="276" w:lineRule="auto"/>
        <w:ind w:left="648" w:hanging="648"/>
      </w:pPr>
      <w:r>
        <w:rPr>
          <w:rFonts w:cs="Times New Roman"/>
          <w:sz w:val="20"/>
        </w:rPr>
        <w:t xml:space="preserve">[30]  J.-B. Yang, J. Liu, J. Wang, H.-S. Sii, and H.-W. Wang, "Belief rule-base inference methodology using the evidential reasoning approach - RIMER," IEEE Trans. Syst., Man, Cybern. A, Syst., Humans, </w:t>
      </w:r>
      <w:r>
        <w:rPr>
          <w:rFonts w:cs="Times New Roman"/>
          <w:sz w:val="20"/>
        </w:rPr>
        <w:t>vol. 36, no. 2, pp. 266-285, Mar. 2006, doi: 10.1109/TSMCA.2005.851270.</w:t>
      </w:r>
    </w:p>
    <w:sectPr w:rsidR="00543019" w:rsidSect="00034616">
      <w:headerReference w:type="default" r:id="rId10"/>
      <w:footerReference w:type="default" r:id="rId11"/>
      <w:pgSz w:w="11906" w:h="16838"/>
      <w:pgMar w:top="1296" w:right="1296" w:bottom="1296"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3B2A3C">
      <w:pPr>
        <w:spacing w:after="0" w:line="240" w:lineRule="auto"/>
      </w:pPr>
      <w:r>
        <w:separator/>
      </w:r>
    </w:p>
  </w:endnote>
  <w:endnote w:type="continuationSeparator" w:id="0">
    <w:p w:rsidR="00000000" w:rsidRDefault="003B2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3019" w:rsidRDefault="003B2A3C">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3B2A3C">
      <w:pPr>
        <w:spacing w:after="0" w:line="240" w:lineRule="auto"/>
      </w:pPr>
      <w:r>
        <w:separator/>
      </w:r>
    </w:p>
  </w:footnote>
  <w:footnote w:type="continuationSeparator" w:id="0">
    <w:p w:rsidR="00000000" w:rsidRDefault="003B2A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3019" w:rsidRDefault="003B2A3C">
    <w:pPr>
      <w:pStyle w:val="Header"/>
      <w:jc w:val="center"/>
    </w:pPr>
    <w:r>
      <w:rPr>
        <w:rFonts w:cs="Times New Roman"/>
        <w:i/>
        <w:color w:val="555555"/>
        <w:sz w:val="20"/>
      </w:rPr>
      <w:t>Smart Alcohol Intoxication Detection and Prevention System Using AI  |  Conclusion, Future Scope and Re</w:t>
    </w:r>
    <w:r>
      <w:rPr>
        <w:rFonts w:cs="Times New Roman"/>
        <w:i/>
        <w:color w:val="555555"/>
        <w:sz w:val="20"/>
      </w:rPr>
      <w:t>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A3C"/>
    <w:rsid w:val="005430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B7ABA50-2FBC-4EB0-A250-206D1C148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0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B5A319-85A1-4BEC-A4BF-58173F666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2099</Words>
  <Characters>12025</Characters>
  <Application>Microsoft Office Word</Application>
  <DocSecurity>0</DocSecurity>
  <Lines>214</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2026-10-26T06:05:00Z</dcterms:modified>
  <cp:category/>
</cp:coreProperties>
</file>