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389C" w:rsidRDefault="0013389C">
      <w:pPr>
        <w:spacing w:after="480" w:line="240" w:lineRule="auto"/>
      </w:pPr>
      <w:bookmarkStart w:id="0" w:name="_GoBack"/>
      <w:bookmarkEnd w:id="0"/>
    </w:p>
    <w:p w:rsidR="0013389C" w:rsidRDefault="005D1B82">
      <w:pPr>
        <w:jc w:val="center"/>
      </w:pPr>
      <w:r>
        <w:rPr>
          <w:rFonts w:cs="Times New Roman"/>
          <w:b/>
          <w:sz w:val="36"/>
        </w:rPr>
        <w:t>SECURE DATA TRANSMISSION IN CLOUD COMPUTING USING ENCRYPTION AND MACHINE LEARNING</w:t>
      </w:r>
    </w:p>
    <w:p w:rsidR="0013389C" w:rsidRDefault="005D1B82">
      <w:pPr>
        <w:spacing w:after="280"/>
        <w:jc w:val="center"/>
      </w:pPr>
      <w:r>
        <w:rPr>
          <w:rFonts w:cs="Times New Roman"/>
          <w:b/>
          <w:sz w:val="28"/>
        </w:rPr>
        <w:t>Block Diagrams (all)</w:t>
      </w:r>
    </w:p>
    <w:p w:rsidR="0013389C" w:rsidRDefault="005D1B82">
      <w:pPr>
        <w:spacing w:after="40"/>
        <w:jc w:val="center"/>
      </w:pPr>
      <w:r>
        <w:rPr>
          <w:rFonts w:cs="Times New Roman"/>
        </w:rPr>
        <w:t>Department of Computer Science and Engineering, TKR College of Engineering &amp; Technology</w:t>
      </w:r>
    </w:p>
    <w:p w:rsidR="0013389C" w:rsidRDefault="005D1B82">
      <w:pPr>
        <w:spacing w:after="240"/>
        <w:jc w:val="center"/>
      </w:pPr>
      <w:r>
        <w:rPr>
          <w:rFonts w:cs="Times New Roman"/>
        </w:rPr>
        <w:t>Batch A5 (CSE-A)  ·  Academic year [ACADEMIC YEAR]</w:t>
      </w:r>
    </w:p>
    <w:p w:rsidR="0013389C" w:rsidRDefault="005D1B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13389C">
        <w:trPr>
          <w:cantSplit/>
          <w:tblHeader/>
          <w:jc w:val="center"/>
        </w:trPr>
        <w:tc>
          <w:tcPr>
            <w:tcW w:w="1008" w:type="dxa"/>
            <w:shd w:val="clear" w:color="auto" w:fill="1B2A41"/>
          </w:tcPr>
          <w:p w:rsidR="0013389C" w:rsidRDefault="005D1B82">
            <w:pPr>
              <w:spacing w:after="40" w:line="240" w:lineRule="auto"/>
              <w:jc w:val="center"/>
            </w:pPr>
            <w:r>
              <w:rPr>
                <w:rFonts w:cs="Times New Roman"/>
                <w:b/>
                <w:color w:val="FFFFFF"/>
                <w:sz w:val="22"/>
              </w:rPr>
              <w:t>S.No.</w:t>
            </w:r>
          </w:p>
        </w:tc>
        <w:tc>
          <w:tcPr>
            <w:tcW w:w="4896" w:type="dxa"/>
            <w:shd w:val="clear" w:color="auto" w:fill="1B2A41"/>
          </w:tcPr>
          <w:p w:rsidR="0013389C" w:rsidRDefault="005D1B82">
            <w:pPr>
              <w:spacing w:after="40" w:line="240" w:lineRule="auto"/>
              <w:jc w:val="center"/>
            </w:pPr>
            <w:r>
              <w:rPr>
                <w:rFonts w:cs="Times New Roman"/>
                <w:b/>
                <w:color w:val="FFFFFF"/>
                <w:sz w:val="22"/>
              </w:rPr>
              <w:t>Student name</w:t>
            </w:r>
          </w:p>
        </w:tc>
        <w:tc>
          <w:tcPr>
            <w:tcW w:w="2592" w:type="dxa"/>
            <w:shd w:val="clear" w:color="auto" w:fill="1B2A41"/>
          </w:tcPr>
          <w:p w:rsidR="0013389C" w:rsidRDefault="005D1B82">
            <w:pPr>
              <w:spacing w:after="40" w:line="240" w:lineRule="auto"/>
              <w:jc w:val="center"/>
            </w:pPr>
            <w:r>
              <w:rPr>
                <w:rFonts w:cs="Times New Roman"/>
                <w:b/>
                <w:color w:val="FFFFFF"/>
                <w:sz w:val="22"/>
              </w:rPr>
              <w:t>Roll number</w:t>
            </w:r>
          </w:p>
        </w:tc>
      </w:tr>
      <w:tr w:rsidR="0013389C">
        <w:trPr>
          <w:cantSplit/>
          <w:jc w:val="center"/>
        </w:trPr>
        <w:tc>
          <w:tcPr>
            <w:tcW w:w="1008" w:type="dxa"/>
          </w:tcPr>
          <w:p w:rsidR="0013389C" w:rsidRDefault="005D1B82">
            <w:pPr>
              <w:spacing w:after="40" w:line="240" w:lineRule="auto"/>
              <w:jc w:val="center"/>
            </w:pPr>
            <w:r>
              <w:rPr>
                <w:rFonts w:cs="Times New Roman"/>
                <w:sz w:val="22"/>
              </w:rPr>
              <w:t>1</w:t>
            </w:r>
          </w:p>
        </w:tc>
        <w:tc>
          <w:tcPr>
            <w:tcW w:w="4896" w:type="dxa"/>
          </w:tcPr>
          <w:p w:rsidR="0013389C" w:rsidRDefault="005D1B82">
            <w:pPr>
              <w:spacing w:after="40" w:line="240" w:lineRule="auto"/>
              <w:jc w:val="left"/>
            </w:pPr>
            <w:r>
              <w:rPr>
                <w:rFonts w:cs="Times New Roman"/>
                <w:sz w:val="22"/>
              </w:rPr>
              <w:t>Avuti Sandhya</w:t>
            </w:r>
          </w:p>
        </w:tc>
        <w:tc>
          <w:tcPr>
            <w:tcW w:w="2592" w:type="dxa"/>
          </w:tcPr>
          <w:p w:rsidR="0013389C" w:rsidRDefault="005D1B82">
            <w:pPr>
              <w:spacing w:after="40" w:line="240" w:lineRule="auto"/>
              <w:jc w:val="center"/>
            </w:pPr>
            <w:r>
              <w:rPr>
                <w:rFonts w:cs="Times New Roman"/>
                <w:sz w:val="22"/>
              </w:rPr>
              <w:t>23K91A0520</w:t>
            </w:r>
          </w:p>
        </w:tc>
      </w:tr>
      <w:tr w:rsidR="0013389C">
        <w:trPr>
          <w:cantSplit/>
          <w:jc w:val="center"/>
        </w:trPr>
        <w:tc>
          <w:tcPr>
            <w:tcW w:w="1008" w:type="dxa"/>
          </w:tcPr>
          <w:p w:rsidR="0013389C" w:rsidRDefault="005D1B82">
            <w:pPr>
              <w:spacing w:after="40" w:line="240" w:lineRule="auto"/>
              <w:jc w:val="center"/>
            </w:pPr>
            <w:r>
              <w:rPr>
                <w:rFonts w:cs="Times New Roman"/>
                <w:sz w:val="22"/>
              </w:rPr>
              <w:t>2</w:t>
            </w:r>
          </w:p>
        </w:tc>
        <w:tc>
          <w:tcPr>
            <w:tcW w:w="4896" w:type="dxa"/>
          </w:tcPr>
          <w:p w:rsidR="0013389C" w:rsidRDefault="005D1B82">
            <w:pPr>
              <w:spacing w:after="40" w:line="240" w:lineRule="auto"/>
              <w:jc w:val="left"/>
            </w:pPr>
            <w:r>
              <w:rPr>
                <w:rFonts w:cs="Times New Roman"/>
                <w:sz w:val="22"/>
              </w:rPr>
              <w:t>Banothu Indu</w:t>
            </w:r>
          </w:p>
        </w:tc>
        <w:tc>
          <w:tcPr>
            <w:tcW w:w="2592" w:type="dxa"/>
          </w:tcPr>
          <w:p w:rsidR="0013389C" w:rsidRDefault="005D1B82">
            <w:pPr>
              <w:spacing w:after="40" w:line="240" w:lineRule="auto"/>
              <w:jc w:val="center"/>
            </w:pPr>
            <w:r>
              <w:rPr>
                <w:rFonts w:cs="Times New Roman"/>
                <w:sz w:val="22"/>
              </w:rPr>
              <w:t>23K91A0530</w:t>
            </w:r>
          </w:p>
        </w:tc>
      </w:tr>
      <w:tr w:rsidR="0013389C">
        <w:trPr>
          <w:cantSplit/>
          <w:jc w:val="center"/>
        </w:trPr>
        <w:tc>
          <w:tcPr>
            <w:tcW w:w="1008" w:type="dxa"/>
          </w:tcPr>
          <w:p w:rsidR="0013389C" w:rsidRDefault="005D1B82">
            <w:pPr>
              <w:spacing w:after="40" w:line="240" w:lineRule="auto"/>
              <w:jc w:val="center"/>
            </w:pPr>
            <w:r>
              <w:rPr>
                <w:rFonts w:cs="Times New Roman"/>
                <w:sz w:val="22"/>
              </w:rPr>
              <w:t>3</w:t>
            </w:r>
          </w:p>
        </w:tc>
        <w:tc>
          <w:tcPr>
            <w:tcW w:w="4896" w:type="dxa"/>
          </w:tcPr>
          <w:p w:rsidR="0013389C" w:rsidRDefault="005D1B82">
            <w:pPr>
              <w:spacing w:after="40" w:line="240" w:lineRule="auto"/>
              <w:jc w:val="left"/>
            </w:pPr>
            <w:r>
              <w:rPr>
                <w:rFonts w:cs="Times New Roman"/>
                <w:sz w:val="22"/>
              </w:rPr>
              <w:t>Dasari Sriteja</w:t>
            </w:r>
          </w:p>
        </w:tc>
        <w:tc>
          <w:tcPr>
            <w:tcW w:w="2592" w:type="dxa"/>
          </w:tcPr>
          <w:p w:rsidR="0013389C" w:rsidRDefault="005D1B82">
            <w:pPr>
              <w:spacing w:after="40" w:line="240" w:lineRule="auto"/>
              <w:jc w:val="center"/>
            </w:pPr>
            <w:r>
              <w:rPr>
                <w:rFonts w:cs="Times New Roman"/>
                <w:sz w:val="22"/>
              </w:rPr>
              <w:t>23K91A0559</w:t>
            </w:r>
          </w:p>
        </w:tc>
      </w:tr>
      <w:tr w:rsidR="0013389C">
        <w:trPr>
          <w:cantSplit/>
          <w:jc w:val="center"/>
        </w:trPr>
        <w:tc>
          <w:tcPr>
            <w:tcW w:w="1008" w:type="dxa"/>
          </w:tcPr>
          <w:p w:rsidR="0013389C" w:rsidRDefault="005D1B82">
            <w:pPr>
              <w:spacing w:after="40" w:line="240" w:lineRule="auto"/>
              <w:jc w:val="center"/>
            </w:pPr>
            <w:r>
              <w:rPr>
                <w:rFonts w:cs="Times New Roman"/>
                <w:sz w:val="22"/>
              </w:rPr>
              <w:t>4</w:t>
            </w:r>
          </w:p>
        </w:tc>
        <w:tc>
          <w:tcPr>
            <w:tcW w:w="4896" w:type="dxa"/>
          </w:tcPr>
          <w:p w:rsidR="0013389C" w:rsidRDefault="005D1B82">
            <w:pPr>
              <w:spacing w:after="40" w:line="240" w:lineRule="auto"/>
              <w:jc w:val="left"/>
            </w:pPr>
            <w:r>
              <w:rPr>
                <w:rFonts w:cs="Times New Roman"/>
                <w:sz w:val="22"/>
              </w:rPr>
              <w:t>Bejugam Vaishnavi</w:t>
            </w:r>
          </w:p>
        </w:tc>
        <w:tc>
          <w:tcPr>
            <w:tcW w:w="2592" w:type="dxa"/>
          </w:tcPr>
          <w:p w:rsidR="0013389C" w:rsidRDefault="005D1B82">
            <w:pPr>
              <w:spacing w:after="40" w:line="240" w:lineRule="auto"/>
              <w:jc w:val="center"/>
            </w:pPr>
            <w:r>
              <w:rPr>
                <w:rFonts w:cs="Times New Roman"/>
                <w:sz w:val="22"/>
              </w:rPr>
              <w:t>23K91A0533</w:t>
            </w:r>
          </w:p>
        </w:tc>
      </w:tr>
    </w:tbl>
    <w:p w:rsidR="0013389C" w:rsidRDefault="0013389C">
      <w:pPr>
        <w:spacing w:line="192" w:lineRule="auto"/>
      </w:pPr>
    </w:p>
    <w:p w:rsidR="0013389C" w:rsidRDefault="005D1B82">
      <w:pPr>
        <w:spacing w:after="200"/>
        <w:jc w:val="center"/>
      </w:pPr>
      <w:r>
        <w:rPr>
          <w:rFonts w:cs="Times New Roman"/>
          <w:b/>
        </w:rPr>
        <w:t>Project guide:</w:t>
      </w:r>
      <w:r>
        <w:rPr>
          <w:rFonts w:cs="Times New Roman"/>
        </w:rPr>
        <w:t xml:space="preserve"> CH. Prabhakar</w:t>
      </w:r>
    </w:p>
    <w:p w:rsidR="0013389C" w:rsidRDefault="005D1B82">
      <w:r>
        <w:rPr>
          <w:rFonts w:cs="Times New Roman"/>
          <w:i/>
          <w:sz w:val="21"/>
        </w:rPr>
        <w:t xml:space="preserve">Chapter and section numbers quoted in </w:t>
      </w:r>
      <w:r>
        <w:rPr>
          <w:rFonts w:cs="Times New Roman"/>
          <w:i/>
          <w:sz w:val="21"/>
        </w:rPr>
        <w:t>the text (for example Chapter 8 or Section 6.2) refer to the full project report, 17.Final Document. Figures and tables in this document are numbered from 1.</w:t>
      </w:r>
    </w:p>
    <w:p w:rsidR="0013389C" w:rsidRDefault="005D1B82">
      <w:pPr>
        <w:pStyle w:val="Heading1"/>
      </w:pPr>
      <w:r>
        <w:t>1. INDEX OF DIAGRAMS</w:t>
      </w:r>
    </w:p>
    <w:p w:rsidR="0013389C" w:rsidRDefault="005D1B82">
      <w:r>
        <w:rPr>
          <w:rFonts w:cs="Times New Roman"/>
        </w:rPr>
        <w:t xml:space="preserve">Every diagram was generated from the real design by </w:t>
      </w:r>
      <w:r>
        <w:rPr>
          <w:rFonts w:ascii="Consolas" w:eastAsia="Consolas" w:hAnsi="Consolas" w:cs="Consolas"/>
          <w:sz w:val="21"/>
        </w:rPr>
        <w:t>scripts/docs_build/make_d</w:t>
      </w:r>
      <w:r>
        <w:rPr>
          <w:rFonts w:ascii="Consolas" w:eastAsia="Consolas" w:hAnsi="Consolas" w:cs="Consolas"/>
          <w:sz w:val="21"/>
        </w:rPr>
        <w:t>iagrams.py</w:t>
      </w:r>
      <w:r>
        <w:rPr>
          <w:rFonts w:cs="Times New Roman"/>
        </w:rPr>
        <w:t xml:space="preserve">, </w:t>
      </w:r>
      <w:r>
        <w:rPr>
          <w:rFonts w:ascii="Consolas" w:eastAsia="Consolas" w:hAnsi="Consolas" w:cs="Consolas"/>
          <w:sz w:val="21"/>
        </w:rPr>
        <w:t>diagrams_dfd.py</w:t>
      </w:r>
      <w:r>
        <w:rPr>
          <w:rFonts w:cs="Times New Roman"/>
        </w:rPr>
        <w:t xml:space="preserve"> and </w:t>
      </w:r>
      <w:r>
        <w:rPr>
          <w:rFonts w:ascii="Consolas" w:eastAsia="Consolas" w:hAnsi="Consolas" w:cs="Consolas"/>
          <w:sz w:val="21"/>
        </w:rPr>
        <w:t>diagrams_more.py</w:t>
      </w:r>
      <w:r>
        <w:rPr>
          <w:rFonts w:cs="Times New Roman"/>
        </w:rPr>
        <w:t xml:space="preserve"> (matplotlib, 150 dpi) and mirrors the code in </w:t>
      </w:r>
      <w:r>
        <w:rPr>
          <w:rFonts w:ascii="Consolas" w:eastAsia="Consolas" w:hAnsi="Consolas" w:cs="Consolas"/>
          <w:sz w:val="21"/>
        </w:rPr>
        <w:t>cipherguard/api/main.py</w:t>
      </w:r>
      <w:r>
        <w:rPr>
          <w:rFonts w:cs="Times New Roman"/>
        </w:rPr>
        <w:t xml:space="preserve">, </w:t>
      </w:r>
      <w:r>
        <w:rPr>
          <w:rFonts w:ascii="Consolas" w:eastAsia="Consolas" w:hAnsi="Consolas" w:cs="Consolas"/>
          <w:sz w:val="21"/>
        </w:rPr>
        <w:t>cipherguard/crypto/</w:t>
      </w:r>
      <w:r>
        <w:rPr>
          <w:rFonts w:cs="Times New Roman"/>
        </w:rPr>
        <w:t xml:space="preserve"> and </w:t>
      </w:r>
      <w:r>
        <w:rPr>
          <w:rFonts w:ascii="Consolas" w:eastAsia="Consolas" w:hAnsi="Consolas" w:cs="Consolas"/>
          <w:sz w:val="21"/>
        </w:rPr>
        <w:t>cipherguard/ids/</w:t>
      </w:r>
      <w:r>
        <w:rPr>
          <w:rFonts w:cs="Times New Roman"/>
        </w:rPr>
        <w:t xml:space="preserve">. CipherGuard Shield keeps no database: alerts and keys live in process memory and the models </w:t>
      </w:r>
      <w:r>
        <w:rPr>
          <w:rFonts w:cs="Times New Roman"/>
        </w:rPr>
        <w:t>and reports are files, so the entity-relationship diagram shows logical entities.</w:t>
      </w:r>
    </w:p>
    <w:p w:rsidR="0013389C" w:rsidRDefault="005D1B8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73"/>
        <w:gridCol w:w="3638"/>
        <w:gridCol w:w="4571"/>
      </w:tblGrid>
      <w:tr w:rsidR="0013389C">
        <w:trPr>
          <w:cantSplit/>
          <w:tblHeader/>
          <w:jc w:val="center"/>
        </w:trPr>
        <w:tc>
          <w:tcPr>
            <w:tcW w:w="720" w:type="dxa"/>
            <w:shd w:val="clear" w:color="auto" w:fill="1B2A41"/>
          </w:tcPr>
          <w:p w:rsidR="0013389C" w:rsidRDefault="005D1B82">
            <w:pPr>
              <w:spacing w:after="40" w:line="240" w:lineRule="auto"/>
              <w:jc w:val="center"/>
            </w:pPr>
            <w:r>
              <w:rPr>
                <w:rFonts w:cs="Times New Roman"/>
                <w:b/>
                <w:color w:val="FFFFFF"/>
                <w:sz w:val="21"/>
              </w:rPr>
              <w:t>No.</w:t>
            </w:r>
          </w:p>
        </w:tc>
        <w:tc>
          <w:tcPr>
            <w:tcW w:w="4320" w:type="dxa"/>
            <w:shd w:val="clear" w:color="auto" w:fill="1B2A41"/>
          </w:tcPr>
          <w:p w:rsidR="0013389C" w:rsidRDefault="005D1B82">
            <w:pPr>
              <w:spacing w:after="40" w:line="240" w:lineRule="auto"/>
              <w:jc w:val="center"/>
            </w:pPr>
            <w:r>
              <w:rPr>
                <w:rFonts w:cs="Times New Roman"/>
                <w:b/>
                <w:color w:val="FFFFFF"/>
                <w:sz w:val="21"/>
              </w:rPr>
              <w:t>Diagram</w:t>
            </w:r>
          </w:p>
        </w:tc>
        <w:tc>
          <w:tcPr>
            <w:tcW w:w="4032" w:type="dxa"/>
            <w:shd w:val="clear" w:color="auto" w:fill="1B2A41"/>
          </w:tcPr>
          <w:p w:rsidR="0013389C" w:rsidRDefault="005D1B82">
            <w:pPr>
              <w:spacing w:after="40" w:line="240" w:lineRule="auto"/>
              <w:jc w:val="center"/>
            </w:pPr>
            <w:r>
              <w:rPr>
                <w:rFonts w:cs="Times New Roman"/>
                <w:b/>
                <w:color w:val="FFFFFF"/>
                <w:sz w:val="21"/>
              </w:rPr>
              <w:t>Image file</w:t>
            </w:r>
          </w:p>
        </w:tc>
      </w:tr>
      <w:tr w:rsidR="0013389C">
        <w:trPr>
          <w:cantSplit/>
          <w:jc w:val="center"/>
        </w:trPr>
        <w:tc>
          <w:tcPr>
            <w:tcW w:w="720" w:type="dxa"/>
          </w:tcPr>
          <w:p w:rsidR="0013389C" w:rsidRDefault="005D1B82">
            <w:pPr>
              <w:spacing w:after="40" w:line="240" w:lineRule="auto"/>
              <w:jc w:val="center"/>
            </w:pPr>
            <w:r>
              <w:rPr>
                <w:rFonts w:cs="Times New Roman"/>
                <w:sz w:val="21"/>
              </w:rPr>
              <w:t>1</w:t>
            </w:r>
          </w:p>
        </w:tc>
        <w:tc>
          <w:tcPr>
            <w:tcW w:w="4320" w:type="dxa"/>
          </w:tcPr>
          <w:p w:rsidR="0013389C" w:rsidRDefault="005D1B82">
            <w:pPr>
              <w:spacing w:after="40" w:line="240" w:lineRule="auto"/>
              <w:jc w:val="left"/>
            </w:pPr>
            <w:r>
              <w:rPr>
                <w:rFonts w:cs="Times New Roman"/>
                <w:sz w:val="21"/>
              </w:rPr>
              <w:t>System architecture</w:t>
            </w:r>
          </w:p>
        </w:tc>
        <w:tc>
          <w:tcPr>
            <w:tcW w:w="4032" w:type="dxa"/>
          </w:tcPr>
          <w:p w:rsidR="0013389C" w:rsidRDefault="005D1B82">
            <w:pPr>
              <w:spacing w:after="40" w:line="240" w:lineRule="auto"/>
              <w:jc w:val="left"/>
            </w:pPr>
            <w:r>
              <w:rPr>
                <w:rFonts w:ascii="Consolas" w:eastAsia="Consolas" w:hAnsi="Consolas" w:cs="Consolas"/>
                <w:sz w:val="18"/>
              </w:rPr>
              <w:t>docs/diagrams/01_system_architecture.png</w:t>
            </w:r>
          </w:p>
        </w:tc>
      </w:tr>
      <w:tr w:rsidR="0013389C">
        <w:trPr>
          <w:cantSplit/>
          <w:jc w:val="center"/>
        </w:trPr>
        <w:tc>
          <w:tcPr>
            <w:tcW w:w="720" w:type="dxa"/>
          </w:tcPr>
          <w:p w:rsidR="0013389C" w:rsidRDefault="005D1B82">
            <w:pPr>
              <w:spacing w:after="40" w:line="240" w:lineRule="auto"/>
              <w:jc w:val="center"/>
            </w:pPr>
            <w:r>
              <w:rPr>
                <w:rFonts w:cs="Times New Roman"/>
                <w:sz w:val="21"/>
              </w:rPr>
              <w:t>2</w:t>
            </w:r>
          </w:p>
        </w:tc>
        <w:tc>
          <w:tcPr>
            <w:tcW w:w="4320" w:type="dxa"/>
          </w:tcPr>
          <w:p w:rsidR="0013389C" w:rsidRDefault="005D1B82">
            <w:pPr>
              <w:spacing w:after="40" w:line="240" w:lineRule="auto"/>
              <w:jc w:val="left"/>
            </w:pPr>
            <w:r>
              <w:rPr>
                <w:rFonts w:cs="Times New Roman"/>
                <w:sz w:val="21"/>
              </w:rPr>
              <w:t>High-level workflow</w:t>
            </w:r>
          </w:p>
        </w:tc>
        <w:tc>
          <w:tcPr>
            <w:tcW w:w="4032" w:type="dxa"/>
          </w:tcPr>
          <w:p w:rsidR="0013389C" w:rsidRDefault="005D1B82">
            <w:pPr>
              <w:spacing w:after="40" w:line="240" w:lineRule="auto"/>
              <w:jc w:val="left"/>
            </w:pPr>
            <w:r>
              <w:rPr>
                <w:rFonts w:ascii="Consolas" w:eastAsia="Consolas" w:hAnsi="Consolas" w:cs="Consolas"/>
                <w:sz w:val="18"/>
              </w:rPr>
              <w:t>docs/diagrams/02_high_level_workflow.png</w:t>
            </w:r>
          </w:p>
        </w:tc>
      </w:tr>
      <w:tr w:rsidR="0013389C">
        <w:trPr>
          <w:cantSplit/>
          <w:jc w:val="center"/>
        </w:trPr>
        <w:tc>
          <w:tcPr>
            <w:tcW w:w="720" w:type="dxa"/>
          </w:tcPr>
          <w:p w:rsidR="0013389C" w:rsidRDefault="005D1B82">
            <w:pPr>
              <w:spacing w:after="40" w:line="240" w:lineRule="auto"/>
              <w:jc w:val="center"/>
            </w:pPr>
            <w:r>
              <w:rPr>
                <w:rFonts w:cs="Times New Roman"/>
                <w:sz w:val="21"/>
              </w:rPr>
              <w:t>3</w:t>
            </w:r>
          </w:p>
        </w:tc>
        <w:tc>
          <w:tcPr>
            <w:tcW w:w="4320" w:type="dxa"/>
          </w:tcPr>
          <w:p w:rsidR="0013389C" w:rsidRDefault="005D1B82">
            <w:pPr>
              <w:spacing w:after="40" w:line="240" w:lineRule="auto"/>
              <w:jc w:val="left"/>
            </w:pPr>
            <w:r>
              <w:rPr>
                <w:rFonts w:cs="Times New Roman"/>
                <w:sz w:val="21"/>
              </w:rPr>
              <w:t>Data flow diagram, level 0</w:t>
            </w:r>
          </w:p>
        </w:tc>
        <w:tc>
          <w:tcPr>
            <w:tcW w:w="4032" w:type="dxa"/>
          </w:tcPr>
          <w:p w:rsidR="0013389C" w:rsidRDefault="005D1B82">
            <w:pPr>
              <w:spacing w:after="40" w:line="240" w:lineRule="auto"/>
              <w:jc w:val="left"/>
            </w:pPr>
            <w:r>
              <w:rPr>
                <w:rFonts w:ascii="Consolas" w:eastAsia="Consolas" w:hAnsi="Consolas" w:cs="Consolas"/>
                <w:sz w:val="18"/>
              </w:rPr>
              <w:t>docs/diagrams/03_dfd_level0.png</w:t>
            </w:r>
          </w:p>
        </w:tc>
      </w:tr>
      <w:tr w:rsidR="0013389C">
        <w:trPr>
          <w:cantSplit/>
          <w:jc w:val="center"/>
        </w:trPr>
        <w:tc>
          <w:tcPr>
            <w:tcW w:w="720" w:type="dxa"/>
          </w:tcPr>
          <w:p w:rsidR="0013389C" w:rsidRDefault="005D1B82">
            <w:pPr>
              <w:spacing w:after="40" w:line="240" w:lineRule="auto"/>
              <w:jc w:val="center"/>
            </w:pPr>
            <w:r>
              <w:rPr>
                <w:rFonts w:cs="Times New Roman"/>
                <w:sz w:val="21"/>
              </w:rPr>
              <w:lastRenderedPageBreak/>
              <w:t>4</w:t>
            </w:r>
          </w:p>
        </w:tc>
        <w:tc>
          <w:tcPr>
            <w:tcW w:w="4320" w:type="dxa"/>
          </w:tcPr>
          <w:p w:rsidR="0013389C" w:rsidRDefault="005D1B82">
            <w:pPr>
              <w:spacing w:after="40" w:line="240" w:lineRule="auto"/>
              <w:jc w:val="left"/>
            </w:pPr>
            <w:r>
              <w:rPr>
                <w:rFonts w:cs="Times New Roman"/>
                <w:sz w:val="21"/>
              </w:rPr>
              <w:t>Data flow diagram, level 1</w:t>
            </w:r>
          </w:p>
        </w:tc>
        <w:tc>
          <w:tcPr>
            <w:tcW w:w="4032" w:type="dxa"/>
          </w:tcPr>
          <w:p w:rsidR="0013389C" w:rsidRDefault="005D1B82">
            <w:pPr>
              <w:spacing w:after="40" w:line="240" w:lineRule="auto"/>
              <w:jc w:val="left"/>
            </w:pPr>
            <w:r>
              <w:rPr>
                <w:rFonts w:ascii="Consolas" w:eastAsia="Consolas" w:hAnsi="Consolas" w:cs="Consolas"/>
                <w:sz w:val="18"/>
              </w:rPr>
              <w:t>docs/diagrams/04_dfd_level1.png</w:t>
            </w:r>
          </w:p>
        </w:tc>
      </w:tr>
      <w:tr w:rsidR="0013389C">
        <w:trPr>
          <w:cantSplit/>
          <w:jc w:val="center"/>
        </w:trPr>
        <w:tc>
          <w:tcPr>
            <w:tcW w:w="720" w:type="dxa"/>
          </w:tcPr>
          <w:p w:rsidR="0013389C" w:rsidRDefault="005D1B82">
            <w:pPr>
              <w:spacing w:after="40" w:line="240" w:lineRule="auto"/>
              <w:jc w:val="center"/>
            </w:pPr>
            <w:r>
              <w:rPr>
                <w:rFonts w:cs="Times New Roman"/>
                <w:sz w:val="21"/>
              </w:rPr>
              <w:t>5</w:t>
            </w:r>
          </w:p>
        </w:tc>
        <w:tc>
          <w:tcPr>
            <w:tcW w:w="4320" w:type="dxa"/>
          </w:tcPr>
          <w:p w:rsidR="0013389C" w:rsidRDefault="005D1B82">
            <w:pPr>
              <w:spacing w:after="40" w:line="240" w:lineRule="auto"/>
              <w:jc w:val="left"/>
            </w:pPr>
            <w:r>
              <w:rPr>
                <w:rFonts w:cs="Times New Roman"/>
                <w:sz w:val="21"/>
              </w:rPr>
              <w:t>Data flow diagram, level 2</w:t>
            </w:r>
          </w:p>
        </w:tc>
        <w:tc>
          <w:tcPr>
            <w:tcW w:w="4032" w:type="dxa"/>
          </w:tcPr>
          <w:p w:rsidR="0013389C" w:rsidRDefault="005D1B82">
            <w:pPr>
              <w:spacing w:after="40" w:line="240" w:lineRule="auto"/>
              <w:jc w:val="left"/>
            </w:pPr>
            <w:r>
              <w:rPr>
                <w:rFonts w:ascii="Consolas" w:eastAsia="Consolas" w:hAnsi="Consolas" w:cs="Consolas"/>
                <w:sz w:val="18"/>
              </w:rPr>
              <w:t>docs/diagrams/05_dfd_level2.png</w:t>
            </w:r>
          </w:p>
        </w:tc>
      </w:tr>
      <w:tr w:rsidR="0013389C">
        <w:trPr>
          <w:cantSplit/>
          <w:jc w:val="center"/>
        </w:trPr>
        <w:tc>
          <w:tcPr>
            <w:tcW w:w="720" w:type="dxa"/>
          </w:tcPr>
          <w:p w:rsidR="0013389C" w:rsidRDefault="005D1B82">
            <w:pPr>
              <w:spacing w:after="40" w:line="240" w:lineRule="auto"/>
              <w:jc w:val="center"/>
            </w:pPr>
            <w:r>
              <w:rPr>
                <w:rFonts w:cs="Times New Roman"/>
                <w:sz w:val="21"/>
              </w:rPr>
              <w:t>6</w:t>
            </w:r>
          </w:p>
        </w:tc>
        <w:tc>
          <w:tcPr>
            <w:tcW w:w="4320" w:type="dxa"/>
          </w:tcPr>
          <w:p w:rsidR="0013389C" w:rsidRDefault="005D1B82">
            <w:pPr>
              <w:spacing w:after="40" w:line="240" w:lineRule="auto"/>
              <w:jc w:val="left"/>
            </w:pPr>
            <w:r>
              <w:rPr>
                <w:rFonts w:cs="Times New Roman"/>
                <w:sz w:val="21"/>
              </w:rPr>
              <w:t>UML class diagram</w:t>
            </w:r>
          </w:p>
        </w:tc>
        <w:tc>
          <w:tcPr>
            <w:tcW w:w="4032" w:type="dxa"/>
          </w:tcPr>
          <w:p w:rsidR="0013389C" w:rsidRDefault="005D1B82">
            <w:pPr>
              <w:spacing w:after="40" w:line="240" w:lineRule="auto"/>
              <w:jc w:val="left"/>
            </w:pPr>
            <w:r>
              <w:rPr>
                <w:rFonts w:ascii="Consolas" w:eastAsia="Consolas" w:hAnsi="Consolas" w:cs="Consolas"/>
                <w:sz w:val="18"/>
              </w:rPr>
              <w:t>docs/diagrams/06_uml_class.png</w:t>
            </w:r>
          </w:p>
        </w:tc>
      </w:tr>
      <w:tr w:rsidR="0013389C">
        <w:trPr>
          <w:cantSplit/>
          <w:jc w:val="center"/>
        </w:trPr>
        <w:tc>
          <w:tcPr>
            <w:tcW w:w="720" w:type="dxa"/>
          </w:tcPr>
          <w:p w:rsidR="0013389C" w:rsidRDefault="005D1B82">
            <w:pPr>
              <w:spacing w:after="40" w:line="240" w:lineRule="auto"/>
              <w:jc w:val="center"/>
            </w:pPr>
            <w:r>
              <w:rPr>
                <w:rFonts w:cs="Times New Roman"/>
                <w:sz w:val="21"/>
              </w:rPr>
              <w:t>7</w:t>
            </w:r>
          </w:p>
        </w:tc>
        <w:tc>
          <w:tcPr>
            <w:tcW w:w="4320" w:type="dxa"/>
          </w:tcPr>
          <w:p w:rsidR="0013389C" w:rsidRDefault="005D1B82">
            <w:pPr>
              <w:spacing w:after="40" w:line="240" w:lineRule="auto"/>
              <w:jc w:val="left"/>
            </w:pPr>
            <w:r>
              <w:rPr>
                <w:rFonts w:cs="Times New Roman"/>
                <w:sz w:val="21"/>
              </w:rPr>
              <w:t>Sequence diagram of a protected transfer</w:t>
            </w:r>
          </w:p>
        </w:tc>
        <w:tc>
          <w:tcPr>
            <w:tcW w:w="4032" w:type="dxa"/>
          </w:tcPr>
          <w:p w:rsidR="0013389C" w:rsidRDefault="005D1B82">
            <w:pPr>
              <w:spacing w:after="40" w:line="240" w:lineRule="auto"/>
              <w:jc w:val="left"/>
            </w:pPr>
            <w:r>
              <w:rPr>
                <w:rFonts w:ascii="Consolas" w:eastAsia="Consolas" w:hAnsi="Consolas" w:cs="Consolas"/>
                <w:sz w:val="18"/>
              </w:rPr>
              <w:t>docs/diagrams/07_sequence_flow.png</w:t>
            </w:r>
          </w:p>
        </w:tc>
      </w:tr>
      <w:tr w:rsidR="0013389C">
        <w:trPr>
          <w:cantSplit/>
          <w:jc w:val="center"/>
        </w:trPr>
        <w:tc>
          <w:tcPr>
            <w:tcW w:w="720" w:type="dxa"/>
          </w:tcPr>
          <w:p w:rsidR="0013389C" w:rsidRDefault="005D1B82">
            <w:pPr>
              <w:spacing w:after="40" w:line="240" w:lineRule="auto"/>
              <w:jc w:val="center"/>
            </w:pPr>
            <w:r>
              <w:rPr>
                <w:rFonts w:cs="Times New Roman"/>
                <w:sz w:val="21"/>
              </w:rPr>
              <w:t>8</w:t>
            </w:r>
          </w:p>
        </w:tc>
        <w:tc>
          <w:tcPr>
            <w:tcW w:w="4320" w:type="dxa"/>
          </w:tcPr>
          <w:p w:rsidR="0013389C" w:rsidRDefault="005D1B82">
            <w:pPr>
              <w:spacing w:after="40" w:line="240" w:lineRule="auto"/>
              <w:jc w:val="left"/>
            </w:pPr>
            <w:r>
              <w:rPr>
                <w:rFonts w:cs="Times New Roman"/>
                <w:sz w:val="21"/>
              </w:rPr>
              <w:t>Use-case diagram</w:t>
            </w:r>
          </w:p>
        </w:tc>
        <w:tc>
          <w:tcPr>
            <w:tcW w:w="4032" w:type="dxa"/>
          </w:tcPr>
          <w:p w:rsidR="0013389C" w:rsidRDefault="005D1B82">
            <w:pPr>
              <w:spacing w:after="40" w:line="240" w:lineRule="auto"/>
              <w:jc w:val="left"/>
            </w:pPr>
            <w:r>
              <w:rPr>
                <w:rFonts w:ascii="Consolas" w:eastAsia="Consolas" w:hAnsi="Consolas" w:cs="Consolas"/>
                <w:sz w:val="18"/>
              </w:rPr>
              <w:t>docs/diagrams/08_use_case.png</w:t>
            </w:r>
          </w:p>
        </w:tc>
      </w:tr>
      <w:tr w:rsidR="0013389C">
        <w:trPr>
          <w:cantSplit/>
          <w:jc w:val="center"/>
        </w:trPr>
        <w:tc>
          <w:tcPr>
            <w:tcW w:w="720" w:type="dxa"/>
          </w:tcPr>
          <w:p w:rsidR="0013389C" w:rsidRDefault="005D1B82">
            <w:pPr>
              <w:spacing w:after="40" w:line="240" w:lineRule="auto"/>
              <w:jc w:val="center"/>
            </w:pPr>
            <w:r>
              <w:rPr>
                <w:rFonts w:cs="Times New Roman"/>
                <w:sz w:val="21"/>
              </w:rPr>
              <w:t>9</w:t>
            </w:r>
          </w:p>
        </w:tc>
        <w:tc>
          <w:tcPr>
            <w:tcW w:w="4320" w:type="dxa"/>
          </w:tcPr>
          <w:p w:rsidR="0013389C" w:rsidRDefault="005D1B82">
            <w:pPr>
              <w:spacing w:after="40" w:line="240" w:lineRule="auto"/>
              <w:jc w:val="left"/>
            </w:pPr>
            <w:r>
              <w:rPr>
                <w:rFonts w:cs="Times New Roman"/>
                <w:sz w:val="21"/>
              </w:rPr>
              <w:t>Entity-relationship diagram (logical)</w:t>
            </w:r>
          </w:p>
        </w:tc>
        <w:tc>
          <w:tcPr>
            <w:tcW w:w="4032" w:type="dxa"/>
          </w:tcPr>
          <w:p w:rsidR="0013389C" w:rsidRDefault="005D1B82">
            <w:pPr>
              <w:spacing w:after="40" w:line="240" w:lineRule="auto"/>
              <w:jc w:val="left"/>
            </w:pPr>
            <w:r>
              <w:rPr>
                <w:rFonts w:ascii="Consolas" w:eastAsia="Consolas" w:hAnsi="Consolas" w:cs="Consolas"/>
                <w:sz w:val="18"/>
              </w:rPr>
              <w:t>docs/diagrams/09_er_diagram.png</w:t>
            </w:r>
          </w:p>
        </w:tc>
      </w:tr>
      <w:tr w:rsidR="0013389C">
        <w:trPr>
          <w:cantSplit/>
          <w:jc w:val="center"/>
        </w:trPr>
        <w:tc>
          <w:tcPr>
            <w:tcW w:w="720" w:type="dxa"/>
          </w:tcPr>
          <w:p w:rsidR="0013389C" w:rsidRDefault="005D1B82">
            <w:pPr>
              <w:spacing w:after="40" w:line="240" w:lineRule="auto"/>
              <w:jc w:val="center"/>
            </w:pPr>
            <w:r>
              <w:rPr>
                <w:rFonts w:cs="Times New Roman"/>
                <w:sz w:val="21"/>
              </w:rPr>
              <w:t>10</w:t>
            </w:r>
          </w:p>
        </w:tc>
        <w:tc>
          <w:tcPr>
            <w:tcW w:w="4320" w:type="dxa"/>
          </w:tcPr>
          <w:p w:rsidR="0013389C" w:rsidRDefault="005D1B82">
            <w:pPr>
              <w:spacing w:after="40" w:line="240" w:lineRule="auto"/>
              <w:jc w:val="left"/>
            </w:pPr>
            <w:r>
              <w:rPr>
                <w:rFonts w:cs="Times New Roman"/>
                <w:sz w:val="21"/>
              </w:rPr>
              <w:t>Scoring flowchart</w:t>
            </w:r>
          </w:p>
        </w:tc>
        <w:tc>
          <w:tcPr>
            <w:tcW w:w="4032" w:type="dxa"/>
          </w:tcPr>
          <w:p w:rsidR="0013389C" w:rsidRDefault="005D1B82">
            <w:pPr>
              <w:spacing w:after="40" w:line="240" w:lineRule="auto"/>
              <w:jc w:val="left"/>
            </w:pPr>
            <w:r>
              <w:rPr>
                <w:rFonts w:ascii="Consolas" w:eastAsia="Consolas" w:hAnsi="Consolas" w:cs="Consolas"/>
                <w:sz w:val="18"/>
              </w:rPr>
              <w:t>docs/diagrams/10_flowchart_scoring.png</w:t>
            </w:r>
          </w:p>
        </w:tc>
      </w:tr>
      <w:tr w:rsidR="0013389C">
        <w:trPr>
          <w:cantSplit/>
          <w:jc w:val="center"/>
        </w:trPr>
        <w:tc>
          <w:tcPr>
            <w:tcW w:w="720" w:type="dxa"/>
          </w:tcPr>
          <w:p w:rsidR="0013389C" w:rsidRDefault="005D1B82">
            <w:pPr>
              <w:spacing w:after="40" w:line="240" w:lineRule="auto"/>
              <w:jc w:val="center"/>
            </w:pPr>
            <w:r>
              <w:rPr>
                <w:rFonts w:cs="Times New Roman"/>
                <w:sz w:val="21"/>
              </w:rPr>
              <w:t>11</w:t>
            </w:r>
          </w:p>
        </w:tc>
        <w:tc>
          <w:tcPr>
            <w:tcW w:w="4320" w:type="dxa"/>
          </w:tcPr>
          <w:p w:rsidR="0013389C" w:rsidRDefault="005D1B82">
            <w:pPr>
              <w:spacing w:after="40" w:line="240" w:lineRule="auto"/>
              <w:jc w:val="left"/>
            </w:pPr>
            <w:r>
              <w:rPr>
                <w:rFonts w:cs="Times New Roman"/>
                <w:sz w:val="21"/>
              </w:rPr>
              <w:t>SecureChannel flowchart</w:t>
            </w:r>
          </w:p>
        </w:tc>
        <w:tc>
          <w:tcPr>
            <w:tcW w:w="4032" w:type="dxa"/>
          </w:tcPr>
          <w:p w:rsidR="0013389C" w:rsidRDefault="005D1B82">
            <w:pPr>
              <w:spacing w:after="40" w:line="240" w:lineRule="auto"/>
              <w:jc w:val="left"/>
            </w:pPr>
            <w:r>
              <w:rPr>
                <w:rFonts w:ascii="Consolas" w:eastAsia="Consolas" w:hAnsi="Consolas" w:cs="Consolas"/>
                <w:sz w:val="18"/>
              </w:rPr>
              <w:t>docs/diagrams/11_flowchart_securechannel.png</w:t>
            </w:r>
          </w:p>
        </w:tc>
      </w:tr>
      <w:tr w:rsidR="0013389C">
        <w:trPr>
          <w:cantSplit/>
          <w:jc w:val="center"/>
        </w:trPr>
        <w:tc>
          <w:tcPr>
            <w:tcW w:w="720" w:type="dxa"/>
          </w:tcPr>
          <w:p w:rsidR="0013389C" w:rsidRDefault="005D1B82">
            <w:pPr>
              <w:spacing w:after="40" w:line="240" w:lineRule="auto"/>
              <w:jc w:val="center"/>
            </w:pPr>
            <w:r>
              <w:rPr>
                <w:rFonts w:cs="Times New Roman"/>
                <w:sz w:val="21"/>
              </w:rPr>
              <w:t>12</w:t>
            </w:r>
          </w:p>
        </w:tc>
        <w:tc>
          <w:tcPr>
            <w:tcW w:w="4320" w:type="dxa"/>
          </w:tcPr>
          <w:p w:rsidR="0013389C" w:rsidRDefault="005D1B82">
            <w:pPr>
              <w:spacing w:after="40" w:line="240" w:lineRule="auto"/>
              <w:jc w:val="left"/>
            </w:pPr>
            <w:r>
              <w:rPr>
                <w:rFonts w:cs="Times New Roman"/>
                <w:sz w:val="21"/>
              </w:rPr>
              <w:t>Model architecture</w:t>
            </w:r>
          </w:p>
        </w:tc>
        <w:tc>
          <w:tcPr>
            <w:tcW w:w="4032" w:type="dxa"/>
          </w:tcPr>
          <w:p w:rsidR="0013389C" w:rsidRDefault="005D1B82">
            <w:pPr>
              <w:spacing w:after="40" w:line="240" w:lineRule="auto"/>
              <w:jc w:val="left"/>
            </w:pPr>
            <w:r>
              <w:rPr>
                <w:rFonts w:ascii="Consolas" w:eastAsia="Consolas" w:hAnsi="Consolas" w:cs="Consolas"/>
                <w:sz w:val="18"/>
              </w:rPr>
              <w:t>docs/diagrams/12_model_architecture.png</w:t>
            </w:r>
          </w:p>
        </w:tc>
      </w:tr>
    </w:tbl>
    <w:p w:rsidR="0013389C" w:rsidRDefault="0013389C">
      <w:pPr>
        <w:spacing w:line="192" w:lineRule="auto"/>
      </w:pPr>
    </w:p>
    <w:p w:rsidR="0013389C" w:rsidRDefault="005D1B82">
      <w:pPr>
        <w:pStyle w:val="Heading1"/>
        <w:pageBreakBefore/>
      </w:pPr>
      <w:r>
        <w:lastRenderedPageBreak/>
        <w:t>2. DIAGRAMS</w:t>
      </w:r>
    </w:p>
    <w:p w:rsidR="0013389C" w:rsidRDefault="005D1B82">
      <w:pPr>
        <w:pStyle w:val="Heading2"/>
      </w:pPr>
      <w:r>
        <w:t>System architecture</w:t>
      </w:r>
    </w:p>
    <w:p w:rsidR="0013389C" w:rsidRDefault="005D1B82">
      <w:pPr>
        <w:keepNext/>
        <w:spacing w:after="80" w:line="240" w:lineRule="auto"/>
        <w:jc w:val="center"/>
      </w:pPr>
      <w:r>
        <w:rPr>
          <w:noProof/>
        </w:rPr>
        <w:drawing>
          <wp:inline distT="0" distB="0" distL="0" distR="0">
            <wp:extent cx="5303520" cy="45610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561027"/>
                    </a:xfrm>
                    <a:prstGeom prst="rect">
                      <a:avLst/>
                    </a:prstGeom>
                  </pic:spPr>
                </pic:pic>
              </a:graphicData>
            </a:graphic>
          </wp:inline>
        </w:drawing>
      </w:r>
    </w:p>
    <w:p w:rsidR="0013389C" w:rsidRDefault="005D1B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Four-tier </w:t>
      </w:r>
      <w:r>
        <w:rPr>
          <w:rFonts w:cs="Times New Roman"/>
        </w:rPr>
        <w:t>architecture of CipherGuard Shield: console, FastAPI application, core Python packages with in-memory state, and file stores.</w:t>
      </w:r>
    </w:p>
    <w:p w:rsidR="0013389C" w:rsidRDefault="005D1B82">
      <w:r>
        <w:rPr>
          <w:rFonts w:cs="Times New Roman"/>
        </w:rPr>
        <w:t>The presentation tier is the React console on port 5305, which reaches the API through a Vite proxy, plus the original HTML dashbo</w:t>
      </w:r>
      <w:r>
        <w:rPr>
          <w:rFonts w:cs="Times New Roman"/>
        </w:rPr>
        <w:t>ard served by the API at the root path. The FastAPI tier on 127.0.0.1:8305 groups the health and metrics routes, the ThreatSense routes for scoring and alerts, and the SecureChannel routes for encryption, decryption and file encryption, with the upload and</w:t>
      </w:r>
      <w:r>
        <w:rPr>
          <w:rFonts w:cs="Times New Roman"/>
        </w:rPr>
        <w:t xml:space="preserve"> size guards. Beneath it are the cipherguard/crypto and cipherguard/ids packages and the in-memory state: the alert log, the session-key cache and the mock cloud key pair. The data tier is files only: models, reports, the synthetic CSV and the offline expe</w:t>
      </w:r>
      <w:r>
        <w:rPr>
          <w:rFonts w:cs="Times New Roman"/>
        </w:rPr>
        <w:t>riment outputs. There is no database.</w:t>
      </w:r>
    </w:p>
    <w:p w:rsidR="0013389C" w:rsidRDefault="005D1B82">
      <w:pPr>
        <w:pStyle w:val="Heading2"/>
      </w:pPr>
      <w:r>
        <w:lastRenderedPageBreak/>
        <w:t>High-level workflow</w:t>
      </w:r>
    </w:p>
    <w:p w:rsidR="0013389C" w:rsidRDefault="005D1B82">
      <w:pPr>
        <w:keepNext/>
        <w:spacing w:after="80" w:line="240" w:lineRule="auto"/>
        <w:jc w:val="center"/>
      </w:pPr>
      <w:r>
        <w:rPr>
          <w:noProof/>
        </w:rPr>
        <w:drawing>
          <wp:inline distT="0" distB="0" distL="0" distR="0">
            <wp:extent cx="457200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572000" cy="2926080"/>
                    </a:xfrm>
                    <a:prstGeom prst="rect">
                      <a:avLst/>
                    </a:prstGeom>
                  </pic:spPr>
                </pic:pic>
              </a:graphicData>
            </a:graphic>
          </wp:inline>
        </w:drawing>
      </w:r>
    </w:p>
    <w:p w:rsidR="0013389C" w:rsidRDefault="005D1B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Two lanes around one transfer: SecureChannel encrypts the payload while ThreatSense scores the traffic.</w:t>
      </w:r>
    </w:p>
    <w:p w:rsidR="0013389C" w:rsidRDefault="005D1B82">
      <w:r>
        <w:rPr>
          <w:rFonts w:cs="Times New Roman"/>
        </w:rPr>
        <w:t>Lane A takes a payload of up to 1 MB of text or 5 MB of f</w:t>
      </w:r>
      <w:r>
        <w:rPr>
          <w:rFonts w:cs="Times New Roman"/>
        </w:rPr>
        <w:t>ile, generates an ephemeral P-256 key pair, derives a 32-byte key with ECDH and HKDF, encrypts with AES-256-GCM, builds the envelope of ciphertext, nonce, tag and ephemeral public key, and lets the cloud derive the key, check the tag and return plaintext o</w:t>
      </w:r>
      <w:r>
        <w:rPr>
          <w:rFonts w:cs="Times New Roman"/>
        </w:rPr>
        <w:t xml:space="preserve">r an error. Lane B takes a flow record or CSV, preprocesses it, obtains the XGBoost and CNN probabilities, stacks them, and returns a verdict that appends attacks to the alert log. The console runs both lanes side by side; the API does not hold a transfer </w:t>
      </w:r>
      <w:r>
        <w:rPr>
          <w:rFonts w:cs="Times New Roman"/>
        </w:rPr>
        <w:t>back because of a verdict.</w:t>
      </w:r>
    </w:p>
    <w:p w:rsidR="0013389C" w:rsidRDefault="005D1B82">
      <w:pPr>
        <w:pStyle w:val="Heading2"/>
      </w:pPr>
      <w:r>
        <w:lastRenderedPageBreak/>
        <w:t>Data flow diagram, level 0</w:t>
      </w:r>
    </w:p>
    <w:p w:rsidR="0013389C" w:rsidRDefault="005D1B82">
      <w:pPr>
        <w:keepNext/>
        <w:spacing w:after="80" w:line="240" w:lineRule="auto"/>
        <w:jc w:val="center"/>
      </w:pPr>
      <w:r>
        <w:rPr>
          <w:noProof/>
        </w:rPr>
        <w:drawing>
          <wp:inline distT="0" distB="0" distL="0" distR="0">
            <wp:extent cx="5303520" cy="2969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2969971"/>
                    </a:xfrm>
                    <a:prstGeom prst="rect">
                      <a:avLst/>
                    </a:prstGeom>
                  </pic:spPr>
                </pic:pic>
              </a:graphicData>
            </a:graphic>
          </wp:inline>
        </w:drawing>
      </w:r>
    </w:p>
    <w:p w:rsidR="0013389C" w:rsidRDefault="005D1B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with two human actors, the mock cloud and the dataset.</w:t>
      </w:r>
    </w:p>
    <w:p w:rsidR="0013389C" w:rsidRDefault="005D1B82">
      <w:r>
        <w:rPr>
          <w:rFonts w:cs="Times New Roman"/>
        </w:rPr>
        <w:t>At level 0 the whole platform is one process. The operator sends flow records, C</w:t>
      </w:r>
      <w:r>
        <w:rPr>
          <w:rFonts w:cs="Times New Roman"/>
        </w:rPr>
        <w:t xml:space="preserve">SV files, text or files and ciphertext, and receives verdicts, alerts, envelopes, decrypted plaintext and metrics. The developer or administrator sends a retrain command and receives the new models and metrics file. The cloud endpoint receives an envelope </w:t>
      </w:r>
      <w:r>
        <w:rPr>
          <w:rFonts w:cs="Times New Roman"/>
        </w:rPr>
        <w:t>and returns verified plaintext or a tag failure. Labelled flows from UNSW-NB15 or the synthetic CSV enter only at training time. The cloud endpoint is drawn as an external entity although it runs in the same process in this build, because a real deployment</w:t>
      </w:r>
      <w:r>
        <w:rPr>
          <w:rFonts w:cs="Times New Roman"/>
        </w:rPr>
        <w:t xml:space="preserve"> would place it elsewhere.</w:t>
      </w:r>
    </w:p>
    <w:p w:rsidR="0013389C" w:rsidRDefault="005D1B82">
      <w:pPr>
        <w:pStyle w:val="Heading2"/>
      </w:pPr>
      <w:r>
        <w:lastRenderedPageBreak/>
        <w:t>Data flow diagram, level 1</w:t>
      </w:r>
    </w:p>
    <w:p w:rsidR="0013389C" w:rsidRDefault="005D1B82">
      <w:pPr>
        <w:keepNext/>
        <w:spacing w:after="80" w:line="240" w:lineRule="auto"/>
        <w:jc w:val="center"/>
      </w:pPr>
      <w:r>
        <w:rPr>
          <w:noProof/>
        </w:rPr>
        <w:drawing>
          <wp:inline distT="0" distB="0" distL="0" distR="0">
            <wp:extent cx="5303520" cy="41367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4136746"/>
                    </a:xfrm>
                    <a:prstGeom prst="rect">
                      <a:avLst/>
                    </a:prstGeom>
                  </pic:spPr>
                </pic:pic>
              </a:graphicData>
            </a:graphic>
          </wp:inline>
        </w:drawing>
      </w:r>
    </w:p>
    <w:p w:rsidR="0013389C" w:rsidRDefault="005D1B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seven processes and five data stores.</w:t>
      </w:r>
    </w:p>
    <w:p w:rsidR="0013389C" w:rsidRDefault="005D1B82">
      <w:r>
        <w:rPr>
          <w:rFonts w:cs="Times New Roman"/>
        </w:rPr>
        <w:t>Level 1 splits the platform into seven processes. Process 1.0 validates and parses every request. Process 2.0 scor</w:t>
      </w:r>
      <w:r>
        <w:rPr>
          <w:rFonts w:cs="Times New Roman"/>
        </w:rPr>
        <w:t>es flows with the stored models (D4) and passes scores to 3.0, which reports verdicts and appends attacks to the alert log (D1). Process 4.0 encrypts a payload and stores the session key in the cache (D2); process 5.0 looks the key up, or derives it again,</w:t>
      </w:r>
      <w:r>
        <w:rPr>
          <w:rFonts w:cs="Times New Roman"/>
        </w:rPr>
        <w:t xml:space="preserve"> decrypts, and returns plaintext or a 400 error. Process 6.0 serves the metrics file (D3). Process 7.0 trains the models offline from the training CSV (D5) and writes the model files and the metrics report.</w:t>
      </w:r>
    </w:p>
    <w:p w:rsidR="0013389C" w:rsidRDefault="005D1B82">
      <w:pPr>
        <w:pStyle w:val="Heading2"/>
      </w:pPr>
      <w:r>
        <w:lastRenderedPageBreak/>
        <w:t>Data flow diagram, level 2</w:t>
      </w:r>
    </w:p>
    <w:p w:rsidR="0013389C" w:rsidRDefault="005D1B82">
      <w:pPr>
        <w:keepNext/>
        <w:spacing w:after="80" w:line="240" w:lineRule="auto"/>
        <w:jc w:val="center"/>
      </w:pPr>
      <w:r>
        <w:rPr>
          <w:noProof/>
        </w:rPr>
        <w:drawing>
          <wp:inline distT="0" distB="0" distL="0" distR="0">
            <wp:extent cx="5303520" cy="3924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924605"/>
                    </a:xfrm>
                    <a:prstGeom prst="rect">
                      <a:avLst/>
                    </a:prstGeom>
                  </pic:spPr>
                </pic:pic>
              </a:graphicData>
            </a:graphic>
          </wp:inline>
        </w:drawing>
      </w:r>
    </w:p>
    <w:p w:rsidR="0013389C" w:rsidRDefault="005D1B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the scoring process 2.0 expanded into six sub-processes.</w:t>
      </w:r>
    </w:p>
    <w:p w:rsidR="0013389C" w:rsidRDefault="005D1B82">
      <w:r>
        <w:rPr>
          <w:rFonts w:cs="Times New Roman"/>
        </w:rPr>
        <w:t xml:space="preserve">Level 2 follows ThreatSenseEngine.predict_proba. A valid record is completed with defaults and its column names are aligned (2.1). The saved preprocessor </w:t>
      </w:r>
      <w:r>
        <w:rPr>
          <w:rFonts w:cs="Times New Roman"/>
        </w:rPr>
        <w:t>scales the 39 numeric features with MinMax and one-hot encodes proto, service and state (2.2), producing 70 inputs for the shipped bundle or 192 for the real-data bundle. XGBoost (2.3) and the 1D CNN (2.4, input reshaped to N x 1 x F) each return an attack</w:t>
      </w:r>
      <w:r>
        <w:rPr>
          <w:rFonts w:cs="Times New Roman"/>
        </w:rPr>
        <w:t xml:space="preserve"> probability. The logistic-regression meta-model fuses them (2.5), and a threshold of 0.5 and the severity bands produce the label, confidence and severity (2.6).</w:t>
      </w:r>
    </w:p>
    <w:p w:rsidR="0013389C" w:rsidRDefault="005D1B82">
      <w:pPr>
        <w:pStyle w:val="Heading2"/>
      </w:pPr>
      <w:r>
        <w:lastRenderedPageBreak/>
        <w:t>UML class diagram</w:t>
      </w:r>
    </w:p>
    <w:p w:rsidR="0013389C" w:rsidRDefault="005D1B82">
      <w:pPr>
        <w:keepNext/>
        <w:spacing w:after="80" w:line="240" w:lineRule="auto"/>
        <w:jc w:val="center"/>
      </w:pPr>
      <w:r>
        <w:rPr>
          <w:noProof/>
        </w:rPr>
        <w:drawing>
          <wp:inline distT="0" distB="0" distL="0" distR="0">
            <wp:extent cx="5303520" cy="47201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4720133"/>
                    </a:xfrm>
                    <a:prstGeom prst="rect">
                      <a:avLst/>
                    </a:prstGeom>
                  </pic:spPr>
                </pic:pic>
              </a:graphicData>
            </a:graphic>
          </wp:inline>
        </w:drawing>
      </w:r>
    </w:p>
    <w:p w:rsidR="0013389C" w:rsidRDefault="005D1B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the FastAPI appli</w:t>
      </w:r>
      <w:r>
        <w:rPr>
          <w:rFonts w:cs="Times New Roman"/>
        </w:rPr>
        <w:t>cation, the ThreatSense Engine, the CNN, the training pipeline, SecureChannel and KeyPair.</w:t>
      </w:r>
    </w:p>
    <w:p w:rsidR="0013389C" w:rsidRDefault="005D1B82">
      <w:r>
        <w:rPr>
          <w:rFonts w:cs="Times New Roman"/>
        </w:rPr>
        <w:t>The FastAPI application holds the engine, the alert list, the session-key cache and the two directory settings, and uses both ThreatSenseEngine and SecureChannel. Th</w:t>
      </w:r>
      <w:r>
        <w:rPr>
          <w:rFonts w:cs="Times New Roman"/>
        </w:rPr>
        <w:t>reatSenseEngine owns the preprocessor, the XGBoost model, the CNN and the meta-model and exposes load, predict_proba and score_single. CNN1D_Torch defines the layer stack that the engine redefines when loading. SecureChannel is a set of static methods that</w:t>
      </w:r>
      <w:r>
        <w:rPr>
          <w:rFonts w:cs="Times New Roman"/>
        </w:rPr>
        <w:t xml:space="preserve"> create KeyPair instances. The Pydantic request schemas validate input, the alert is a plain dictionary entry, and the training pipeline in train.py produces the artefacts that the engine reads.</w:t>
      </w:r>
    </w:p>
    <w:p w:rsidR="0013389C" w:rsidRDefault="005D1B82">
      <w:pPr>
        <w:pStyle w:val="Heading2"/>
      </w:pPr>
      <w:r>
        <w:lastRenderedPageBreak/>
        <w:t>Sequence diagram of a protected transfer</w:t>
      </w:r>
    </w:p>
    <w:p w:rsidR="0013389C" w:rsidRDefault="005D1B82">
      <w:pPr>
        <w:keepNext/>
        <w:spacing w:after="80" w:line="240" w:lineRule="auto"/>
        <w:jc w:val="center"/>
      </w:pPr>
      <w:r>
        <w:rPr>
          <w:noProof/>
        </w:rPr>
        <w:drawing>
          <wp:inline distT="0" distB="0" distL="0" distR="0">
            <wp:extent cx="4572000" cy="3840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4572000" cy="3840480"/>
                    </a:xfrm>
                    <a:prstGeom prst="rect">
                      <a:avLst/>
                    </a:prstGeom>
                  </pic:spPr>
                </pic:pic>
              </a:graphicData>
            </a:graphic>
          </wp:inline>
        </w:drawing>
      </w:r>
    </w:p>
    <w:p w:rsidR="0013389C" w:rsidRDefault="005D1B82">
      <w:pPr>
        <w:pStyle w:val="Caption"/>
      </w:pPr>
      <w:r>
        <w:rPr>
          <w:rFonts w:cs="Times New Roman"/>
        </w:rPr>
        <w:t xml:space="preserve">Figure </w:t>
      </w:r>
      <w:r>
        <w:rPr>
          <w:rFonts w:cs="Times New Roman"/>
        </w:rPr>
        <w:fldChar w:fldCharType="begin"/>
      </w:r>
      <w:r>
        <w:rPr>
          <w:rFonts w:cs="Times New Roman"/>
        </w:rPr>
        <w:instrText xml:space="preserve"> SEQ Figure</w:instrText>
      </w:r>
      <w:r>
        <w:rPr>
          <w:rFonts w:cs="Times New Roman"/>
        </w:rPr>
        <w:instrText xml:space="preserv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score a flow, encrypt a payload, decrypt and verify it.</w:t>
      </w:r>
    </w:p>
    <w:p w:rsidR="0013389C" w:rsidRDefault="005D1B82">
      <w:r>
        <w:rPr>
          <w:rFonts w:cs="Times New Roman"/>
        </w:rPr>
        <w:t>Three requests are shown. POST /api/ids/score reaches the engine, which preprocesses the record, runs XGBoost and the CNN and stacks them; an attack verdict is inser</w:t>
      </w:r>
      <w:r>
        <w:rPr>
          <w:rFonts w:cs="Times New Roman"/>
        </w:rPr>
        <w:t xml:space="preserve">ted into the alert log. POST /api/crypto/encrypt creates an ephemeral KeyPair, derives the session key against the cloud public key, encrypts with AES-256-GCM and caches the key by ephemeral public key. POST /api/crypto/decrypt checks the cache, otherwise </w:t>
      </w:r>
      <w:r>
        <w:rPr>
          <w:rFonts w:cs="Times New Roman"/>
        </w:rPr>
        <w:t>derives the key with the cloud private key, decrypts, and returns the plaintext with verified true, or a 400 response when the tag does not verify.</w:t>
      </w:r>
    </w:p>
    <w:p w:rsidR="0013389C" w:rsidRDefault="005D1B82">
      <w:pPr>
        <w:pStyle w:val="Heading2"/>
      </w:pPr>
      <w:r>
        <w:lastRenderedPageBreak/>
        <w:t>Use-case diagram</w:t>
      </w:r>
    </w:p>
    <w:p w:rsidR="0013389C" w:rsidRDefault="005D1B82">
      <w:pPr>
        <w:keepNext/>
        <w:spacing w:after="80" w:line="240" w:lineRule="auto"/>
        <w:jc w:val="center"/>
      </w:pPr>
      <w:r>
        <w:rPr>
          <w:noProof/>
        </w:rPr>
        <w:drawing>
          <wp:inline distT="0" distB="0" distL="0" distR="0">
            <wp:extent cx="4572000" cy="3108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108960"/>
                    </a:xfrm>
                    <a:prstGeom prst="rect">
                      <a:avLst/>
                    </a:prstGeom>
                  </pic:spPr>
                </pic:pic>
              </a:graphicData>
            </a:graphic>
          </wp:inline>
        </w:drawing>
      </w:r>
    </w:p>
    <w:p w:rsidR="0013389C" w:rsidRDefault="005D1B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with the operator, the mock cloud end</w:t>
      </w:r>
      <w:r>
        <w:rPr>
          <w:rFonts w:cs="Times New Roman"/>
        </w:rPr>
        <w:t>point and the developer.</w:t>
      </w:r>
    </w:p>
    <w:p w:rsidR="0013389C" w:rsidRDefault="005D1B82">
      <w:r>
        <w:rPr>
          <w:rFonts w:cs="Times New Roman"/>
        </w:rPr>
        <w:t xml:space="preserve">The operator can score one traffic record, score a CSV batch, review and clear alerts, encrypt text or a file, decrypt and verify at the cloud, run a tamper test and view model performance. The cloud endpoint takes part in decrypt </w:t>
      </w:r>
      <w:r>
        <w:rPr>
          <w:rFonts w:cs="Times New Roman"/>
        </w:rPr>
        <w:t>and verify, because it holds the key pair. The developer or administrator retrains the models from the command line, which is why that use case sits at the edge of the system boundary. The tamper test is a decrypt-and-verify after one ciphertext byte is ch</w:t>
      </w:r>
      <w:r>
        <w:rPr>
          <w:rFonts w:cs="Times New Roman"/>
        </w:rPr>
        <w:t>anged, so it includes the verification use case.</w:t>
      </w:r>
    </w:p>
    <w:p w:rsidR="0013389C" w:rsidRDefault="005D1B82">
      <w:pPr>
        <w:pStyle w:val="Heading2"/>
      </w:pPr>
      <w:r>
        <w:lastRenderedPageBreak/>
        <w:t>Entity-relationship diagram (logical)</w:t>
      </w:r>
    </w:p>
    <w:p w:rsidR="0013389C" w:rsidRDefault="005D1B82">
      <w:pPr>
        <w:keepNext/>
        <w:spacing w:after="80" w:line="240" w:lineRule="auto"/>
        <w:jc w:val="center"/>
      </w:pPr>
      <w:r>
        <w:rPr>
          <w:noProof/>
        </w:rPr>
        <w:drawing>
          <wp:inline distT="0" distB="0" distL="0" distR="0">
            <wp:extent cx="5303520" cy="4348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4348886"/>
                    </a:xfrm>
                    <a:prstGeom prst="rect">
                      <a:avLst/>
                    </a:prstGeom>
                  </pic:spPr>
                </pic:pic>
              </a:graphicData>
            </a:graphic>
          </wp:inline>
        </w:drawing>
      </w:r>
    </w:p>
    <w:p w:rsidR="0013389C" w:rsidRDefault="005D1B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Logical entity-relationship diagram: CipherGuard Shield stores no tables, only memory structures and files.</w:t>
      </w:r>
    </w:p>
    <w:p w:rsidR="0013389C" w:rsidRDefault="005D1B82">
      <w:r>
        <w:rPr>
          <w:rFonts w:cs="Times New Roman"/>
        </w:rPr>
        <w:t>The flow record is score</w:t>
      </w:r>
      <w:r>
        <w:rPr>
          <w:rFonts w:cs="Times New Roman"/>
        </w:rPr>
        <w:t>d as one verdict, and an attack verdict raises zero or one alert in a list capped at 500 entries. Verdicts are produced with a model bundle of five files, which is described by one metrics report. An encryption envelope is derived against the cloud key pai</w:t>
      </w:r>
      <w:r>
        <w:rPr>
          <w:rFonts w:cs="Times New Roman"/>
        </w:rPr>
        <w:t>r, which exists once per server process, and may be cached as an ephemeral-key to session-key entry. No foreign keys exist; these are call-time dependencies. The diagram is logical because the system has no database, and alerts and keys are lost on restart</w:t>
      </w:r>
      <w:r>
        <w:rPr>
          <w:rFonts w:cs="Times New Roman"/>
        </w:rPr>
        <w:t>.</w:t>
      </w:r>
    </w:p>
    <w:p w:rsidR="0013389C" w:rsidRDefault="005D1B82">
      <w:pPr>
        <w:pStyle w:val="Heading2"/>
      </w:pPr>
      <w:r>
        <w:lastRenderedPageBreak/>
        <w:t>Scoring flowchart</w:t>
      </w:r>
    </w:p>
    <w:p w:rsidR="0013389C" w:rsidRDefault="005D1B82">
      <w:pPr>
        <w:keepNext/>
        <w:spacing w:after="80" w:line="240" w:lineRule="auto"/>
        <w:jc w:val="center"/>
      </w:pPr>
      <w:r>
        <w:rPr>
          <w:noProof/>
        </w:rPr>
        <w:drawing>
          <wp:inline distT="0" distB="0" distL="0" distR="0">
            <wp:extent cx="5303520" cy="49853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scoring.png"/>
                    <pic:cNvPicPr/>
                  </pic:nvPicPr>
                  <pic:blipFill>
                    <a:blip r:embed="rId17"/>
                    <a:stretch>
                      <a:fillRect/>
                    </a:stretch>
                  </pic:blipFill>
                  <pic:spPr>
                    <a:xfrm>
                      <a:off x="0" y="0"/>
                      <a:ext cx="5303520" cy="4985309"/>
                    </a:xfrm>
                    <a:prstGeom prst="rect">
                      <a:avLst/>
                    </a:prstGeom>
                  </pic:spPr>
                </pic:pic>
              </a:graphicData>
            </a:graphic>
          </wp:inline>
        </w:drawing>
      </w:r>
    </w:p>
    <w:p w:rsidR="0013389C" w:rsidRDefault="005D1B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ThreatSense scoring algorithm, from request to verdict.</w:t>
      </w:r>
    </w:p>
    <w:p w:rsidR="0013389C" w:rsidRDefault="005D1B82">
      <w:r>
        <w:rPr>
          <w:rFonts w:cs="Times New Roman"/>
        </w:rPr>
        <w:t>A request is refused with 400 or 503 if the payload is invalid or the engine is not loaded. Otherwise missing features are fi</w:t>
      </w:r>
      <w:r>
        <w:rPr>
          <w:rFonts w:cs="Times New Roman"/>
        </w:rPr>
        <w:t>lled with defaults, categorical fields are cast to text and the preprocessor scales and one-hot encodes them, ignoring unseen categories. XGBoost and the CNN produce two probabilities, and the meta-model computes the sigmoid of their weighted sum. A probab</w:t>
      </w:r>
      <w:r>
        <w:rPr>
          <w:rFonts w:cs="Times New Roman"/>
        </w:rPr>
        <w:t>ility of 0.5 or more makes the label attack, with severity critical at 0.85, high at 0.70 and medium otherwise, and the alert is appended; below 0.5 the label is normal with severity low and no alert.</w:t>
      </w:r>
    </w:p>
    <w:p w:rsidR="0013389C" w:rsidRDefault="005D1B82">
      <w:pPr>
        <w:pStyle w:val="Heading2"/>
      </w:pPr>
      <w:r>
        <w:lastRenderedPageBreak/>
        <w:t>SecureChannel flowchart</w:t>
      </w:r>
    </w:p>
    <w:p w:rsidR="0013389C" w:rsidRDefault="005D1B82">
      <w:pPr>
        <w:keepNext/>
        <w:spacing w:after="80" w:line="240" w:lineRule="auto"/>
        <w:jc w:val="center"/>
      </w:pPr>
      <w:r>
        <w:rPr>
          <w:noProof/>
        </w:rPr>
        <w:drawing>
          <wp:inline distT="0" distB="0" distL="0" distR="0">
            <wp:extent cx="5303520" cy="45610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securechannel.png"/>
                    <pic:cNvPicPr/>
                  </pic:nvPicPr>
                  <pic:blipFill>
                    <a:blip r:embed="rId18"/>
                    <a:stretch>
                      <a:fillRect/>
                    </a:stretch>
                  </pic:blipFill>
                  <pic:spPr>
                    <a:xfrm>
                      <a:off x="0" y="0"/>
                      <a:ext cx="5303520" cy="4561027"/>
                    </a:xfrm>
                    <a:prstGeom prst="rect">
                      <a:avLst/>
                    </a:prstGeom>
                  </pic:spPr>
                </pic:pic>
              </a:graphicData>
            </a:graphic>
          </wp:inline>
        </w:drawing>
      </w:r>
    </w:p>
    <w:p w:rsidR="0013389C" w:rsidRDefault="005D1B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encryption on the sender side and decryption with tag verification on the cloud side.</w:t>
      </w:r>
    </w:p>
    <w:p w:rsidR="0013389C" w:rsidRDefault="005D1B82">
      <w:r>
        <w:rPr>
          <w:rFonts w:cs="Times New Roman"/>
        </w:rPr>
        <w:t>The sender checks the payload, generates an ephemeral P-256 key pair, computes the ECDH secret with the cloud public key, derives a 32-byte key with H</w:t>
      </w:r>
      <w:r>
        <w:rPr>
          <w:rFonts w:cs="Times New Roman"/>
        </w:rPr>
        <w:t>KDF-SHA256, draws a 12-byte random nonce and encrypts with AES-256-GCM. The envelope carries ciphertext, nonce, 16-byte tag and the 65-byte ephemeral public key. The cloud decodes the base64 fields and checks their lengths, obtains the key from its cache o</w:t>
      </w:r>
      <w:r>
        <w:rPr>
          <w:rFonts w:cs="Times New Roman"/>
        </w:rPr>
        <w:t>r by ECDH with its private key, and decrypts. A valid tag returns the plaintext with verified true; a wrong tag or key returns HTTP 400.</w:t>
      </w:r>
    </w:p>
    <w:p w:rsidR="0013389C" w:rsidRDefault="005D1B82">
      <w:pPr>
        <w:pStyle w:val="Heading2"/>
      </w:pPr>
      <w:r>
        <w:lastRenderedPageBreak/>
        <w:t>Model architecture</w:t>
      </w:r>
    </w:p>
    <w:p w:rsidR="0013389C" w:rsidRDefault="005D1B82">
      <w:pPr>
        <w:keepNext/>
        <w:spacing w:after="80" w:line="240" w:lineRule="auto"/>
        <w:jc w:val="center"/>
      </w:pPr>
      <w:r>
        <w:rPr>
          <w:noProof/>
        </w:rPr>
        <w:drawing>
          <wp:inline distT="0" distB="0" distL="0" distR="0">
            <wp:extent cx="5303520" cy="35003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9"/>
                    <a:stretch>
                      <a:fillRect/>
                    </a:stretch>
                  </pic:blipFill>
                  <pic:spPr>
                    <a:xfrm>
                      <a:off x="0" y="0"/>
                      <a:ext cx="5303520" cy="3500323"/>
                    </a:xfrm>
                    <a:prstGeom prst="rect">
                      <a:avLst/>
                    </a:prstGeom>
                  </pic:spPr>
                </pic:pic>
              </a:graphicData>
            </a:graphic>
          </wp:inline>
        </w:drawing>
      </w:r>
    </w:p>
    <w:p w:rsidR="0013389C" w:rsidRDefault="005D1B8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Architecture of the stacked detector: preprocessing, XGBoost, </w:t>
      </w:r>
      <w:r>
        <w:rPr>
          <w:rFonts w:cs="Times New Roman"/>
        </w:rPr>
        <w:t>1D CNN and logistic-regression stacking.</w:t>
      </w:r>
    </w:p>
    <w:p w:rsidR="0013389C" w:rsidRDefault="005D1B82">
      <w:r>
        <w:rPr>
          <w:rFonts w:cs="Times New Roman"/>
        </w:rPr>
        <w:t>The 42-feature record is encoded into 70 inputs (192 with real UNSW-NB15). Branch A is an XGBoost classifier of 200 trees, depth 6 and learning rate 0.08. Branch B reshapes the vector to N x 1 x F and applies Conv1d</w:t>
      </w:r>
      <w:r>
        <w:rPr>
          <w:rFonts w:cs="Times New Roman"/>
        </w:rPr>
        <w:t xml:space="preserve"> 1 to 32, max-pool, Conv1d 32 to 64, max-pool, flatten, a 64-unit dense layer with dropout 0.3 and a sigmoid output, 76,097 parameters at 70 inputs. A logistic regression fitted on the validation split combines the two probabilities, and a threshold of 0.5</w:t>
      </w:r>
      <w:r>
        <w:rPr>
          <w:rFonts w:cs="Times New Roman"/>
        </w:rPr>
        <w:t xml:space="preserve"> gives the label. The design is a simple analogue of the score-level fusion in the base paper.</w:t>
      </w:r>
    </w:p>
    <w:sectPr w:rsidR="0013389C"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D1B82">
      <w:pPr>
        <w:spacing w:after="0" w:line="240" w:lineRule="auto"/>
      </w:pPr>
      <w:r>
        <w:separator/>
      </w:r>
    </w:p>
  </w:endnote>
  <w:endnote w:type="continuationSeparator" w:id="0">
    <w:p w:rsidR="00000000" w:rsidRDefault="005D1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389C" w:rsidRDefault="005D1B8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D1B82">
      <w:pPr>
        <w:spacing w:after="0" w:line="240" w:lineRule="auto"/>
      </w:pPr>
      <w:r>
        <w:separator/>
      </w:r>
    </w:p>
  </w:footnote>
  <w:footnote w:type="continuationSeparator" w:id="0">
    <w:p w:rsidR="00000000" w:rsidRDefault="005D1B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389C" w:rsidRDefault="005D1B82">
    <w:pPr>
      <w:pStyle w:val="Header"/>
      <w:jc w:val="center"/>
    </w:pPr>
    <w:r>
      <w:rPr>
        <w:rFonts w:cs="Times New Roman"/>
        <w:i/>
        <w:color w:val="555555"/>
        <w:sz w:val="20"/>
      </w:rPr>
      <w:t>CipherGuard Shield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89C"/>
    <w:rsid w:val="0015074B"/>
    <w:rsid w:val="0029639D"/>
    <w:rsid w:val="00326F90"/>
    <w:rsid w:val="005D1B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604BBE1-6CA2-41D4-A54F-09064AF34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5D1B82"/>
    <w:pPr>
      <w:spacing w:after="0" w:line="240" w:lineRule="auto"/>
    </w:pPr>
    <w:rPr>
      <w:rFonts w:cs="Times New Roman"/>
      <w:sz w:val="21"/>
    </w:rPr>
  </w:style>
  <w:style w:type="paragraph" w:styleId="TOC2">
    <w:name w:val="toc 2"/>
    <w:basedOn w:val="Normal"/>
    <w:next w:val="Normal"/>
    <w:autoRedefine/>
    <w:uiPriority w:val="39"/>
    <w:semiHidden/>
    <w:unhideWhenUsed/>
    <w:rsid w:val="005D1B82"/>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5D1B82"/>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DDE65D-1339-447B-BF07-AFF5D9601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1609</Words>
  <Characters>8803</Characters>
  <Application>Microsoft Office Word</Application>
  <DocSecurity>0</DocSecurity>
  <Lines>206</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2026-10-25T03:39:00Z</dcterms:modified>
  <cp:category/>
</cp:coreProperties>
</file>