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3028" w:rsidRDefault="00014D93">
      <w:pPr>
        <w:spacing w:line="276" w:lineRule="auto"/>
        <w:jc w:val="center"/>
      </w:pPr>
      <w:bookmarkStart w:id="0" w:name="_GoBack"/>
      <w:bookmarkEnd w:id="0"/>
      <w:r>
        <w:rPr>
          <w:b/>
          <w:sz w:val="26"/>
        </w:rPr>
        <w:t>Department of Computer Science and Engineering (Data Science)</w:t>
      </w:r>
    </w:p>
    <w:p w:rsidR="00C83028" w:rsidRDefault="00014D93">
      <w:pPr>
        <w:spacing w:after="120" w:line="276" w:lineRule="auto"/>
        <w:jc w:val="center"/>
      </w:pPr>
      <w:r>
        <w:rPr>
          <w:sz w:val="22"/>
        </w:rPr>
        <w:t>CSDS-A   |   Batch A9 (CSE - Data Science, Section A)</w:t>
      </w:r>
    </w:p>
    <w:p w:rsidR="00C83028" w:rsidRDefault="00014D93">
      <w:pPr>
        <w:spacing w:line="288" w:lineRule="auto"/>
        <w:jc w:val="center"/>
      </w:pPr>
      <w:r>
        <w:rPr>
          <w:b/>
          <w:sz w:val="32"/>
        </w:rPr>
        <w:t>Privacy-Preserving Machine Unlearning in Federated LLMs: A Certified Right-to-Be-Forgotten Framework</w:t>
      </w:r>
    </w:p>
    <w:p w:rsidR="00C83028" w:rsidRDefault="00014D93">
      <w:pPr>
        <w:spacing w:after="160" w:line="276" w:lineRule="auto"/>
        <w:jc w:val="center"/>
      </w:pPr>
      <w:r>
        <w:rPr>
          <w:i/>
        </w:rPr>
        <w:t>(ForgetSafe)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4286"/>
        <w:gridCol w:w="3913"/>
      </w:tblGrid>
      <w:tr w:rsidR="00C83028">
        <w:trPr>
          <w:jc w:val="center"/>
        </w:trPr>
        <w:tc>
          <w:tcPr>
            <w:tcW w:w="1118" w:type="dxa"/>
            <w:shd w:val="clear" w:color="auto" w:fill="D9E2F3"/>
          </w:tcPr>
          <w:p w:rsidR="00C83028" w:rsidRDefault="00014D93">
            <w:pPr>
              <w:spacing w:line="276" w:lineRule="auto"/>
              <w:jc w:val="left"/>
            </w:pPr>
            <w:r>
              <w:rPr>
                <w:b/>
                <w:sz w:val="21"/>
              </w:rPr>
              <w:t>S.No.</w:t>
            </w:r>
          </w:p>
        </w:tc>
        <w:tc>
          <w:tcPr>
            <w:tcW w:w="4286" w:type="dxa"/>
            <w:shd w:val="clear" w:color="auto" w:fill="D9E2F3"/>
          </w:tcPr>
          <w:p w:rsidR="00C83028" w:rsidRDefault="00014D93">
            <w:pPr>
              <w:spacing w:line="276" w:lineRule="auto"/>
              <w:jc w:val="left"/>
            </w:pPr>
            <w:r>
              <w:rPr>
                <w:b/>
                <w:sz w:val="21"/>
              </w:rPr>
              <w:t>Student name</w:t>
            </w:r>
          </w:p>
        </w:tc>
        <w:tc>
          <w:tcPr>
            <w:tcW w:w="3913" w:type="dxa"/>
            <w:shd w:val="clear" w:color="auto" w:fill="D9E2F3"/>
          </w:tcPr>
          <w:p w:rsidR="00C83028" w:rsidRDefault="00014D93">
            <w:pPr>
              <w:spacing w:line="276" w:lineRule="auto"/>
              <w:jc w:val="left"/>
            </w:pPr>
            <w:r>
              <w:rPr>
                <w:b/>
                <w:sz w:val="21"/>
              </w:rPr>
              <w:t>Roll /</w:t>
            </w:r>
            <w:r>
              <w:rPr>
                <w:b/>
                <w:sz w:val="21"/>
              </w:rPr>
              <w:t xml:space="preserve"> hall ticket no.</w:t>
            </w:r>
          </w:p>
        </w:tc>
      </w:tr>
      <w:tr w:rsidR="00C83028">
        <w:trPr>
          <w:jc w:val="center"/>
        </w:trPr>
        <w:tc>
          <w:tcPr>
            <w:tcW w:w="1118" w:type="dxa"/>
          </w:tcPr>
          <w:p w:rsidR="00C83028" w:rsidRDefault="00014D93">
            <w:pPr>
              <w:spacing w:line="276" w:lineRule="auto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4286" w:type="dxa"/>
          </w:tcPr>
          <w:p w:rsidR="00C83028" w:rsidRDefault="00014D93">
            <w:pPr>
              <w:spacing w:line="276" w:lineRule="auto"/>
              <w:jc w:val="left"/>
            </w:pPr>
            <w:r>
              <w:rPr>
                <w:sz w:val="21"/>
              </w:rPr>
              <w:t>G.SHASHANK</w:t>
            </w:r>
          </w:p>
        </w:tc>
        <w:tc>
          <w:tcPr>
            <w:tcW w:w="3913" w:type="dxa"/>
          </w:tcPr>
          <w:p w:rsidR="00C83028" w:rsidRDefault="00014D93">
            <w:pPr>
              <w:spacing w:line="276" w:lineRule="auto"/>
              <w:jc w:val="left"/>
            </w:pPr>
            <w:r>
              <w:rPr>
                <w:sz w:val="21"/>
              </w:rPr>
              <w:t>23K91A6761</w:t>
            </w:r>
          </w:p>
        </w:tc>
      </w:tr>
      <w:tr w:rsidR="00C83028">
        <w:trPr>
          <w:jc w:val="center"/>
        </w:trPr>
        <w:tc>
          <w:tcPr>
            <w:tcW w:w="1118" w:type="dxa"/>
          </w:tcPr>
          <w:p w:rsidR="00C83028" w:rsidRDefault="00014D93">
            <w:pPr>
              <w:spacing w:line="276" w:lineRule="auto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4286" w:type="dxa"/>
          </w:tcPr>
          <w:p w:rsidR="00C83028" w:rsidRDefault="00014D93">
            <w:pPr>
              <w:spacing w:line="276" w:lineRule="auto"/>
              <w:jc w:val="left"/>
            </w:pPr>
            <w:r>
              <w:rPr>
                <w:sz w:val="21"/>
              </w:rPr>
              <w:t>B.SATHISH</w:t>
            </w:r>
          </w:p>
        </w:tc>
        <w:tc>
          <w:tcPr>
            <w:tcW w:w="3913" w:type="dxa"/>
          </w:tcPr>
          <w:p w:rsidR="00C83028" w:rsidRDefault="00014D93">
            <w:pPr>
              <w:spacing w:line="276" w:lineRule="auto"/>
              <w:jc w:val="left"/>
            </w:pPr>
            <w:r>
              <w:rPr>
                <w:sz w:val="21"/>
              </w:rPr>
              <w:t>23K91A6719</w:t>
            </w:r>
          </w:p>
        </w:tc>
      </w:tr>
      <w:tr w:rsidR="00C83028">
        <w:trPr>
          <w:jc w:val="center"/>
        </w:trPr>
        <w:tc>
          <w:tcPr>
            <w:tcW w:w="1118" w:type="dxa"/>
          </w:tcPr>
          <w:p w:rsidR="00C83028" w:rsidRDefault="00014D93">
            <w:pPr>
              <w:spacing w:line="276" w:lineRule="auto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w="4286" w:type="dxa"/>
          </w:tcPr>
          <w:p w:rsidR="00C83028" w:rsidRDefault="00014D93">
            <w:pPr>
              <w:spacing w:line="276" w:lineRule="auto"/>
              <w:jc w:val="left"/>
            </w:pPr>
            <w:r>
              <w:rPr>
                <w:sz w:val="21"/>
              </w:rPr>
              <w:t>G.RAKESH</w:t>
            </w:r>
          </w:p>
        </w:tc>
        <w:tc>
          <w:tcPr>
            <w:tcW w:w="3913" w:type="dxa"/>
          </w:tcPr>
          <w:p w:rsidR="00C83028" w:rsidRDefault="00014D93">
            <w:pPr>
              <w:spacing w:line="276" w:lineRule="auto"/>
              <w:jc w:val="left"/>
            </w:pPr>
            <w:r>
              <w:rPr>
                <w:sz w:val="21"/>
              </w:rPr>
              <w:t>23K91A6759</w:t>
            </w:r>
          </w:p>
        </w:tc>
      </w:tr>
      <w:tr w:rsidR="00C83028">
        <w:trPr>
          <w:jc w:val="center"/>
        </w:trPr>
        <w:tc>
          <w:tcPr>
            <w:tcW w:w="1118" w:type="dxa"/>
          </w:tcPr>
          <w:p w:rsidR="00C83028" w:rsidRDefault="00014D93">
            <w:pPr>
              <w:spacing w:line="276" w:lineRule="auto"/>
              <w:jc w:val="left"/>
            </w:pPr>
            <w:r>
              <w:rPr>
                <w:sz w:val="21"/>
              </w:rPr>
              <w:t>4</w:t>
            </w:r>
          </w:p>
        </w:tc>
        <w:tc>
          <w:tcPr>
            <w:tcW w:w="4286" w:type="dxa"/>
          </w:tcPr>
          <w:p w:rsidR="00C83028" w:rsidRDefault="00014D93">
            <w:pPr>
              <w:spacing w:line="276" w:lineRule="auto"/>
              <w:jc w:val="left"/>
            </w:pPr>
            <w:r>
              <w:rPr>
                <w:sz w:val="21"/>
              </w:rPr>
              <w:t>B.AKHIL</w:t>
            </w:r>
          </w:p>
        </w:tc>
        <w:tc>
          <w:tcPr>
            <w:tcW w:w="3913" w:type="dxa"/>
          </w:tcPr>
          <w:p w:rsidR="00C83028" w:rsidRDefault="00014D93">
            <w:pPr>
              <w:spacing w:line="276" w:lineRule="auto"/>
              <w:jc w:val="left"/>
            </w:pPr>
            <w:r>
              <w:rPr>
                <w:sz w:val="21"/>
              </w:rPr>
              <w:t>23K91A6721</w:t>
            </w:r>
          </w:p>
        </w:tc>
      </w:tr>
    </w:tbl>
    <w:p w:rsidR="00C83028" w:rsidRDefault="00014D93">
      <w:pPr>
        <w:spacing w:after="120" w:line="312" w:lineRule="auto"/>
        <w:jc w:val="center"/>
      </w:pPr>
      <w:r>
        <w:rPr>
          <w:sz w:val="22"/>
        </w:rPr>
        <w:t>Under the guidance of: [GUIDE NAME], [DESIGNATION]</w:t>
      </w:r>
    </w:p>
    <w:p w:rsidR="00C83028" w:rsidRDefault="00014D93">
      <w:pPr>
        <w:spacing w:before="120" w:after="200" w:line="288" w:lineRule="auto"/>
        <w:jc w:val="center"/>
      </w:pPr>
      <w:r>
        <w:rPr>
          <w:b/>
          <w:sz w:val="30"/>
        </w:rPr>
        <w:t>CONCLUSION, FUTURE SCOPE AND REFERENCES</w:t>
      </w:r>
    </w:p>
    <w:p w:rsidR="00C83028" w:rsidRDefault="00014D93">
      <w:r>
        <w:t xml:space="preserve">This document concludes the project: what was </w:t>
      </w:r>
      <w:r>
        <w:t>achieved, the key findings, the known limitations, concrete future work, and the numbered list of references.</w:t>
      </w:r>
    </w:p>
    <w:p w:rsidR="00C83028" w:rsidRDefault="00014D93">
      <w:pPr>
        <w:pStyle w:val="Heading2"/>
      </w:pPr>
      <w:r>
        <w:t>1  Summary of the Work</w:t>
      </w:r>
    </w:p>
    <w:p w:rsidR="00C83028" w:rsidRDefault="00014D93">
      <w:r>
        <w:t xml:space="preserve">Machine unlearning promises that a participant's influence can be removed from a trained model on request, and the General </w:t>
      </w:r>
      <w:r>
        <w:t xml:space="preserve">Data Protection Regulation's right to erasure [20] is the usual motivation. For federated language models the difficulty is double: the data never leaves the clients, yet each client's influence stays in the shared parameters, and retraining a large model </w:t>
      </w:r>
      <w:r>
        <w:t xml:space="preserve">for every request is impractical. The project asked what a </w:t>
      </w:r>
      <w:r>
        <w:rPr>
          <w:i/>
        </w:rPr>
        <w:t>certified and auditable</w:t>
      </w:r>
      <w:r>
        <w:t xml:space="preserve"> removal workflow for such a setting would look like, and answered it with ForgetSafe, a working demonstrator.</w:t>
      </w:r>
    </w:p>
    <w:p w:rsidR="00C83028" w:rsidRDefault="00014D93">
      <w:r>
        <w:t>ForgetSafe simulates five federated clients, clips each client'</w:t>
      </w:r>
      <w:r>
        <w:t>s update, aggregates the updates with calibrated Gaussian noise into a global character-level language model that stands in for an LLM adapter, and removes a client by subtracting its stored update. Each removal is verified against a retained-only recomput</w:t>
      </w:r>
      <w:r>
        <w:t>ation, evaluated with a loss-based membership-inference attack, measured for retained utility, and written as a certificate and as a SHA-256 hash-chained ledger record. The system is delivered as a standard-library Python engine and API, a React web interf</w:t>
      </w:r>
      <w:r>
        <w:t>ace, the original single-page interface, a Tkinter desktop window and a command-line demonstration, with 5 unit tests, 14 smoke checks and an experiment suite that produced every number in this report.</w:t>
      </w:r>
    </w:p>
    <w:p w:rsidR="00C83028" w:rsidRDefault="00014D93">
      <w:pPr>
        <w:pStyle w:val="Heading2"/>
      </w:pPr>
      <w:r>
        <w:lastRenderedPageBreak/>
        <w:t>2  Objectives Achieved</w:t>
      </w:r>
    </w:p>
    <w:p w:rsidR="00C83028" w:rsidRDefault="00014D93">
      <w:pPr>
        <w:pStyle w:val="TableCaption"/>
      </w:pPr>
      <w:r>
        <w:t xml:space="preserve">Table 1: Objectives and </w:t>
      </w:r>
      <w:r>
        <w:t>verdicts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4"/>
        <w:gridCol w:w="1863"/>
        <w:gridCol w:w="4099"/>
      </w:tblGrid>
      <w:tr w:rsidR="00C83028">
        <w:trPr>
          <w:cantSplit/>
          <w:tblHeader/>
          <w:jc w:val="center"/>
        </w:trPr>
        <w:tc>
          <w:tcPr>
            <w:tcW w:w="3354" w:type="dxa"/>
            <w:shd w:val="clear" w:color="auto" w:fill="D9E2F3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b/>
                <w:sz w:val="19"/>
              </w:rPr>
              <w:t>Objective</w:t>
            </w:r>
          </w:p>
        </w:tc>
        <w:tc>
          <w:tcPr>
            <w:tcW w:w="1863" w:type="dxa"/>
            <w:shd w:val="clear" w:color="auto" w:fill="D9E2F3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b/>
                <w:sz w:val="19"/>
              </w:rPr>
              <w:t>Verdict</w:t>
            </w:r>
          </w:p>
        </w:tc>
        <w:tc>
          <w:tcPr>
            <w:tcW w:w="4099" w:type="dxa"/>
            <w:shd w:val="clear" w:color="auto" w:fill="D9E2F3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b/>
                <w:sz w:val="19"/>
              </w:rPr>
              <w:t>Basis</w:t>
            </w:r>
          </w:p>
        </w:tc>
      </w:tr>
      <w:tr w:rsidR="00C83028">
        <w:trPr>
          <w:cantSplit/>
          <w:jc w:val="center"/>
        </w:trPr>
        <w:tc>
          <w:tcPr>
            <w:tcW w:w="3354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1. Federated fine-tuning of an LLM across clients</w:t>
            </w:r>
          </w:p>
        </w:tc>
        <w:tc>
          <w:tcPr>
            <w:tcW w:w="1863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Partly met</w:t>
            </w:r>
          </w:p>
        </w:tc>
        <w:tc>
          <w:tcPr>
            <w:tcW w:w="4099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aggregation across 5 simulated clients on a bigram proxy; no LLM fine-tuned</w:t>
            </w:r>
          </w:p>
        </w:tc>
      </w:tr>
      <w:tr w:rsidR="00C83028">
        <w:trPr>
          <w:cantSplit/>
          <w:jc w:val="center"/>
        </w:trPr>
        <w:tc>
          <w:tcPr>
            <w:tcW w:w="3354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2. Parameter-level unlearning without full retraining</w:t>
            </w:r>
          </w:p>
        </w:tc>
        <w:tc>
          <w:tcPr>
            <w:tcW w:w="1863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Met on the proxy</w:t>
            </w:r>
          </w:p>
        </w:tc>
        <w:tc>
          <w:tcPr>
            <w:tcW w:w="4099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exact subtrac</w:t>
            </w:r>
            <w:r>
              <w:rPr>
                <w:sz w:val="19"/>
              </w:rPr>
              <w:t>tion; 250/250 requests completed; behaves like a fresh retrain</w:t>
            </w:r>
          </w:p>
        </w:tc>
      </w:tr>
      <w:tr w:rsidR="00C83028">
        <w:trPr>
          <w:cantSplit/>
          <w:jc w:val="center"/>
        </w:trPr>
        <w:tc>
          <w:tcPr>
            <w:tcW w:w="3354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3. Certification with differential-privacy guarantees</w:t>
            </w:r>
          </w:p>
        </w:tc>
        <w:tc>
          <w:tcPr>
            <w:tcW w:w="1863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Partly met</w:t>
            </w:r>
          </w:p>
        </w:tc>
        <w:tc>
          <w:tcPr>
            <w:tcW w:w="4099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ε and δ reported, but ε = 1.6149 is outside the classical range, noise is reused and there is no accountant</w:t>
            </w:r>
          </w:p>
        </w:tc>
      </w:tr>
      <w:tr w:rsidR="00C83028">
        <w:trPr>
          <w:cantSplit/>
          <w:jc w:val="center"/>
        </w:trPr>
        <w:tc>
          <w:tcPr>
            <w:tcW w:w="3354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4. Verification by</w:t>
            </w:r>
            <w:r>
              <w:rPr>
                <w:sz w:val="19"/>
              </w:rPr>
              <w:t xml:space="preserve"> membership inference and comparison with retraining</w:t>
            </w:r>
          </w:p>
        </w:tc>
        <w:tc>
          <w:tcPr>
            <w:tcW w:w="1863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Met with caveats</w:t>
            </w:r>
          </w:p>
        </w:tc>
        <w:tc>
          <w:tcPr>
            <w:tcW w:w="4099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both run on every request; the attack is at chance at the default noise; fresh-noise comparison added</w:t>
            </w:r>
          </w:p>
        </w:tc>
      </w:tr>
      <w:tr w:rsidR="00C83028">
        <w:trPr>
          <w:cantSplit/>
          <w:jc w:val="center"/>
        </w:trPr>
        <w:tc>
          <w:tcPr>
            <w:tcW w:w="3354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5. Utility preserved on the remaining data</w:t>
            </w:r>
          </w:p>
        </w:tc>
        <w:tc>
          <w:tcPr>
            <w:tcW w:w="1863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Met by the metric, weak in substance</w:t>
            </w:r>
          </w:p>
        </w:tc>
        <w:tc>
          <w:tcPr>
            <w:tcW w:w="4099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mean retention 97.1 %, but the baseline model is almost useless</w:t>
            </w:r>
          </w:p>
        </w:tc>
      </w:tr>
      <w:tr w:rsidR="00C83028">
        <w:trPr>
          <w:cantSplit/>
          <w:jc w:val="center"/>
        </w:trPr>
        <w:tc>
          <w:tcPr>
            <w:tcW w:w="3354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6. Auditable compliance record per request</w:t>
            </w:r>
          </w:p>
        </w:tc>
        <w:tc>
          <w:tcPr>
            <w:tcW w:w="1863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Met with limits</w:t>
            </w:r>
          </w:p>
        </w:tc>
        <w:tc>
          <w:tcPr>
            <w:tcW w:w="4099" w:type="dxa"/>
          </w:tcPr>
          <w:p w:rsidR="00C83028" w:rsidRDefault="00014D93">
            <w:pPr>
              <w:spacing w:before="40" w:line="240" w:lineRule="auto"/>
              <w:jc w:val="left"/>
            </w:pPr>
            <w:r>
              <w:rPr>
                <w:sz w:val="19"/>
              </w:rPr>
              <w:t>every event hash-chained and linked to its certificate; truncation and re-hash forgery undetected</w:t>
            </w:r>
          </w:p>
        </w:tc>
      </w:tr>
    </w:tbl>
    <w:p w:rsidR="00C83028" w:rsidRDefault="00C83028">
      <w:pPr>
        <w:spacing w:after="80" w:line="144" w:lineRule="auto"/>
      </w:pPr>
    </w:p>
    <w:p w:rsidR="00C83028" w:rsidRDefault="00014D93">
      <w:r>
        <w:t>Four of the six objectives are m</w:t>
      </w:r>
      <w:r>
        <w:t>et as stated, with the caveats shown, and two are met only in part. The partial ones are the same two whose ambition exceeds what a one-person-month demonstrator can deliver: fine-tuning a real large language model, and a privacy guarantee that stays valid</w:t>
      </w:r>
      <w:r>
        <w:t xml:space="preserve"> across releases.</w:t>
      </w:r>
    </w:p>
    <w:p w:rsidR="00C83028" w:rsidRDefault="00014D93">
      <w:pPr>
        <w:pStyle w:val="Heading2"/>
      </w:pPr>
      <w:r>
        <w:t>3  Key Findings</w:t>
      </w:r>
    </w:p>
    <w:p w:rsidR="00C83028" w:rsidRDefault="00014D93">
      <w:pPr>
        <w:tabs>
          <w:tab w:val="left" w:pos="576"/>
        </w:tabs>
        <w:ind w:left="576" w:hanging="432"/>
      </w:pPr>
      <w:r>
        <w:t>1.</w:t>
      </w:r>
      <w:r>
        <w:tab/>
      </w:r>
      <w:r>
        <w:rPr>
          <w:b/>
        </w:rPr>
        <w:t>At the default noise the model is dominated by noise.</w:t>
      </w:r>
      <w:r>
        <w:t xml:space="preserve"> Perplexity is 142 ± 28 over 50 seeds against 32 for a uniform model, and next-character accuracy is 3.7 %.</w:t>
      </w:r>
    </w:p>
    <w:p w:rsidR="00C83028" w:rsidRDefault="00014D93">
      <w:pPr>
        <w:tabs>
          <w:tab w:val="left" w:pos="576"/>
        </w:tabs>
        <w:ind w:left="576" w:hanging="432"/>
      </w:pPr>
      <w:r>
        <w:t>2.</w:t>
      </w:r>
      <w:r>
        <w:tab/>
      </w:r>
      <w:r>
        <w:rPr>
          <w:b/>
        </w:rPr>
        <w:t xml:space="preserve">Nothing measurable is left to remove at the default </w:t>
      </w:r>
      <w:r>
        <w:rPr>
          <w:b/>
        </w:rPr>
        <w:t>setting.</w:t>
      </w:r>
      <w:r>
        <w:t xml:space="preserve"> The membership attack is at chance before removal (AUC 0.52) and after (0.50).</w:t>
      </w:r>
    </w:p>
    <w:p w:rsidR="00C83028" w:rsidRDefault="00014D93">
      <w:pPr>
        <w:tabs>
          <w:tab w:val="left" w:pos="576"/>
        </w:tabs>
        <w:ind w:left="576" w:hanging="432"/>
      </w:pPr>
      <w:r>
        <w:t>3.</w:t>
      </w:r>
      <w:r>
        <w:tab/>
      </w:r>
      <w:r>
        <w:rPr>
          <w:b/>
        </w:rPr>
        <w:t>The removal itself is real.</w:t>
      </w:r>
      <w:r>
        <w:t xml:space="preserve"> With the noise switched off the attack separates members almost perfectly (mean AUC 0.992) and subtraction brings it to 0.544.</w:t>
      </w:r>
    </w:p>
    <w:p w:rsidR="00C83028" w:rsidRDefault="00014D93">
      <w:pPr>
        <w:tabs>
          <w:tab w:val="left" w:pos="576"/>
        </w:tabs>
        <w:ind w:left="576" w:hanging="432"/>
      </w:pPr>
      <w:r>
        <w:t>4.</w:t>
      </w:r>
      <w:r>
        <w:tab/>
      </w:r>
      <w:r>
        <w:rPr>
          <w:b/>
        </w:rPr>
        <w:t>The shi</w:t>
      </w:r>
      <w:r>
        <w:rPr>
          <w:b/>
        </w:rPr>
        <w:t>pped certificate is an identity, not an independent proof.</w:t>
      </w:r>
      <w:r>
        <w:t xml:space="preserve"> The reference reuses the stored noise and updates, so its distance is about 1e-14 on all 250 requests; it cannot fail.</w:t>
      </w:r>
    </w:p>
    <w:p w:rsidR="00C83028" w:rsidRDefault="00014D93">
      <w:pPr>
        <w:tabs>
          <w:tab w:val="left" w:pos="576"/>
        </w:tabs>
        <w:ind w:left="576" w:hanging="432"/>
      </w:pPr>
      <w:r>
        <w:t>5.</w:t>
      </w:r>
      <w:r>
        <w:tab/>
      </w:r>
      <w:r>
        <w:rPr>
          <w:b/>
        </w:rPr>
        <w:t>The unlearned model is distributed like a retrained one.</w:t>
      </w:r>
      <w:r>
        <w:t xml:space="preserve"> Its distance to a </w:t>
      </w:r>
      <w:r>
        <w:t>fresh-noise retrain (875.3) equals the distance between two fresh retrains (881.4) at σ = 3.</w:t>
      </w:r>
    </w:p>
    <w:p w:rsidR="00C83028" w:rsidRDefault="00014D93">
      <w:pPr>
        <w:tabs>
          <w:tab w:val="left" w:pos="576"/>
        </w:tabs>
        <w:ind w:left="576" w:hanging="432"/>
      </w:pPr>
      <w:r>
        <w:t>6.</w:t>
      </w:r>
      <w:r>
        <w:tab/>
      </w:r>
      <w:r>
        <w:rPr>
          <w:b/>
        </w:rPr>
        <w:t>Privacy and utility do not meet.</w:t>
      </w:r>
      <w:r>
        <w:t xml:space="preserve"> ε &lt; 1 needs σ &gt; 4.84 (perplexity about 198 or worse); a useful model needs σ &lt;= 0.1 (ε &gt;= 48). The default ε = 1.6149 lies outs</w:t>
      </w:r>
      <w:r>
        <w:t>ide the range in which the classical bound is proved.</w:t>
      </w:r>
    </w:p>
    <w:p w:rsidR="00C83028" w:rsidRDefault="00014D93">
      <w:pPr>
        <w:tabs>
          <w:tab w:val="left" w:pos="576"/>
        </w:tabs>
        <w:ind w:left="576" w:hanging="432"/>
      </w:pPr>
      <w:r>
        <w:t>7.</w:t>
      </w:r>
      <w:r>
        <w:tab/>
      </w:r>
      <w:r>
        <w:rPr>
          <w:b/>
        </w:rPr>
        <w:t>The audit ledger catches careless tampering only.</w:t>
      </w:r>
      <w:r>
        <w:t xml:space="preserve"> Edits, deletions and swaps are detected; tail truncation, a full re-hash forgery and an appended forged record are not.</w:t>
      </w:r>
    </w:p>
    <w:p w:rsidR="00C83028" w:rsidRDefault="00014D93">
      <w:pPr>
        <w:tabs>
          <w:tab w:val="left" w:pos="576"/>
        </w:tabs>
        <w:ind w:left="576" w:hanging="432"/>
      </w:pPr>
      <w:r>
        <w:lastRenderedPageBreak/>
        <w:t>8.</w:t>
      </w:r>
      <w:r>
        <w:tab/>
      </w:r>
      <w:r>
        <w:rPr>
          <w:b/>
        </w:rPr>
        <w:t>Unlearning pays off only a</w:t>
      </w:r>
      <w:r>
        <w:rPr>
          <w:b/>
        </w:rPr>
        <w:t>t scale.</w:t>
      </w:r>
      <w:r>
        <w:t xml:space="preserve"> On the 5-client demonstration </w:t>
      </w:r>
      <w:r>
        <w:rPr>
          <w:rFonts w:ascii="Courier New" w:eastAsia="Courier New" w:hAnsi="Courier New" w:cs="Courier New"/>
          <w:sz w:val="21"/>
        </w:rPr>
        <w:t>unlearn()</w:t>
      </w:r>
      <w:r>
        <w:t xml:space="preserve"> (45 ms) is slower than retraining the proxy (13 ms); it is 6.8x faster at 500 clients.</w:t>
      </w:r>
    </w:p>
    <w:p w:rsidR="00C83028" w:rsidRDefault="00014D93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3931920" cy="2241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_noise_free_au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4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028" w:rsidRDefault="00014D93">
      <w:pPr>
        <w:pStyle w:val="FigureCaption"/>
      </w:pPr>
      <w:r>
        <w:t>Fig. 1: Without noise the removal is clearly visible to the membership attack</w:t>
      </w:r>
    </w:p>
    <w:p w:rsidR="00C83028" w:rsidRDefault="00014D93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206240" cy="2397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_noise_free_au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028" w:rsidRDefault="00014D93">
      <w:pPr>
        <w:pStyle w:val="FigureCaption"/>
      </w:pPr>
      <w:r>
        <w:t>Fig. 2: Membership AUC before and afte</w:t>
      </w:r>
      <w:r>
        <w:t>r removal when no noise is added (sigma = 1e-6): the removal is real, and the default noise is what hides the leakage</w:t>
      </w:r>
    </w:p>
    <w:p w:rsidR="00C83028" w:rsidRDefault="00014D93">
      <w:pPr>
        <w:pStyle w:val="Heading2"/>
      </w:pPr>
      <w:r>
        <w:t>4  Practical Applications</w:t>
      </w:r>
    </w:p>
    <w:p w:rsidR="00C83028" w:rsidRDefault="00014D93">
      <w:r>
        <w:t>ForgetSafe is not a compliance product and does not claim that any real model has been formally erased. Within t</w:t>
      </w:r>
      <w:r>
        <w:t>hat boundary it has three practical uses.</w:t>
      </w:r>
    </w:p>
    <w:p w:rsidR="00C83028" w:rsidRDefault="00014D93">
      <w:pPr>
        <w:pStyle w:val="ListBullet"/>
      </w:pPr>
      <w:r>
        <w:rPr>
          <w:b/>
        </w:rPr>
        <w:t>A teaching and demonstration tool</w:t>
      </w:r>
      <w:r>
        <w:t xml:space="preserve"> for federated learning, differential privacy, membership inference and tamper-evident logging, with every step visible in a browser and reproducible offline.</w:t>
      </w:r>
    </w:p>
    <w:p w:rsidR="00C83028" w:rsidRDefault="00014D93">
      <w:pPr>
        <w:pStyle w:val="ListBullet"/>
      </w:pPr>
      <w:r>
        <w:rPr>
          <w:b/>
        </w:rPr>
        <w:t>A reference workflow a</w:t>
      </w:r>
      <w:r>
        <w:rPr>
          <w:b/>
        </w:rPr>
        <w:t>nd certificate schema.</w:t>
      </w:r>
      <w:r>
        <w:t xml:space="preserve"> The order of operations (train, track, subtract, verify, certify, record) and the 25 fields of the certificate can be reused when the proxy model is replaced by a real adapter.</w:t>
      </w:r>
    </w:p>
    <w:p w:rsidR="00C83028" w:rsidRDefault="00014D93">
      <w:pPr>
        <w:pStyle w:val="ListBullet"/>
      </w:pPr>
      <w:r>
        <w:rPr>
          <w:b/>
        </w:rPr>
        <w:lastRenderedPageBreak/>
        <w:t>A harness for checking unlearning claims.</w:t>
      </w:r>
      <w:r>
        <w:t xml:space="preserve"> The fresh-nois</w:t>
      </w:r>
      <w:r>
        <w:t>e comparison and the noise-free attack are small, general checks that expose a certificate which cannot fail; they can be pointed at other unlearning implementations.</w:t>
      </w:r>
    </w:p>
    <w:p w:rsidR="00C83028" w:rsidRDefault="00014D93">
      <w:pPr>
        <w:pStyle w:val="Heading2"/>
      </w:pPr>
      <w:r>
        <w:t>5  Known Limitations</w:t>
      </w:r>
    </w:p>
    <w:p w:rsidR="00C83028" w:rsidRDefault="00014D93">
      <w:pPr>
        <w:pStyle w:val="ListBullet"/>
      </w:pPr>
      <w:r>
        <w:t>The model is a 1,089-parameter bigram proxy trained on 25 hand-writt</w:t>
      </w:r>
      <w:r>
        <w:t>en sentences; no LLM, GPU, Flower, Hugging Face or Opacus component is used.</w:t>
      </w:r>
    </w:p>
    <w:p w:rsidR="00C83028" w:rsidRDefault="00014D93">
      <w:pPr>
        <w:pStyle w:val="ListBullet"/>
      </w:pPr>
      <w:r>
        <w:t>The membership attack uses ten sentences (resolution 0.04) and is uninformative at the default noise.</w:t>
      </w:r>
    </w:p>
    <w:p w:rsidR="00C83028" w:rsidRDefault="00014D93">
      <w:pPr>
        <w:pStyle w:val="ListBullet"/>
      </w:pPr>
      <w:r>
        <w:t>The certificate's reference shares noise and updates with the unlearned model</w:t>
      </w:r>
      <w:r>
        <w:t xml:space="preserve"> and therefore cannot fail; ε is the training-time value, outside its proven range at σ = 3, with no accountant.</w:t>
      </w:r>
    </w:p>
    <w:p w:rsidR="00C83028" w:rsidRDefault="00014D93">
      <w:pPr>
        <w:pStyle w:val="ListBullet"/>
      </w:pPr>
      <w:r>
        <w:t>The audit ledger has no signature or external anchor and re-reads the whole file on every append.</w:t>
      </w:r>
    </w:p>
    <w:p w:rsidR="00C83028" w:rsidRDefault="00014D93">
      <w:pPr>
        <w:pStyle w:val="ListBullet"/>
      </w:pPr>
      <w:r>
        <w:t>The API has no authentication, one shared eng</w:t>
      </w:r>
      <w:r>
        <w:t>ine, and rough edges for oversized bodies and unsupported methods.</w:t>
      </w:r>
    </w:p>
    <w:p w:rsidR="00C83028" w:rsidRDefault="00014D93">
      <w:pPr>
        <w:pStyle w:val="ListBullet"/>
      </w:pPr>
      <w:r>
        <w:t>Tests are small and use fixed seeds; there is no load, concurrency, penetration or user testing; timing was measured once on one machine.</w:t>
      </w:r>
    </w:p>
    <w:p w:rsidR="00C83028" w:rsidRDefault="00014D93">
      <w:pPr>
        <w:pStyle w:val="ListBullet"/>
      </w:pPr>
      <w:r>
        <w:t>Three of the five papers in the batch literature su</w:t>
      </w:r>
      <w:r>
        <w:t>rvey could not be retrieved and are listed without claims about their contents.</w:t>
      </w:r>
    </w:p>
    <w:p w:rsidR="00C83028" w:rsidRDefault="00014D93">
      <w:pPr>
        <w:pStyle w:val="Heading2"/>
      </w:pPr>
      <w:r>
        <w:t>6  Future Scope</w:t>
      </w:r>
    </w:p>
    <w:p w:rsidR="00C83028" w:rsidRDefault="00014D93">
      <w:r>
        <w:t>The items below follow from the limitations and from the gaps found in the literature survey.</w:t>
      </w:r>
    </w:p>
    <w:p w:rsidR="00C83028" w:rsidRDefault="00014D93">
      <w:pPr>
        <w:pStyle w:val="Heading2"/>
      </w:pPr>
      <w:r>
        <w:t>7  Improvements to the Existing System</w:t>
      </w:r>
    </w:p>
    <w:p w:rsidR="00C83028" w:rsidRDefault="00014D93">
      <w:pPr>
        <w:tabs>
          <w:tab w:val="left" w:pos="576"/>
        </w:tabs>
        <w:ind w:left="576" w:hanging="432"/>
      </w:pPr>
      <w:r>
        <w:t>1.</w:t>
      </w:r>
      <w:r>
        <w:tab/>
      </w:r>
      <w:r>
        <w:rPr>
          <w:b/>
        </w:rPr>
        <w:t xml:space="preserve">Draw fresh noise at </w:t>
      </w:r>
      <w:r>
        <w:rPr>
          <w:b/>
        </w:rPr>
        <w:t>every release and add a privacy accountant</w:t>
      </w:r>
      <w:r>
        <w:t xml:space="preserve"> (Rényi or zero-concentrated DP) so that ε is updated after each training and removal, and replace the classical formula by the analytic Gaussian calibration [19], which is valid for any ε &gt; 0.</w:t>
      </w:r>
    </w:p>
    <w:p w:rsidR="00C83028" w:rsidRDefault="00014D93">
      <w:pPr>
        <w:tabs>
          <w:tab w:val="left" w:pos="576"/>
        </w:tabs>
        <w:ind w:left="576" w:hanging="432"/>
      </w:pPr>
      <w:r>
        <w:t>2.</w:t>
      </w:r>
      <w:r>
        <w:tab/>
      </w:r>
      <w:r>
        <w:rPr>
          <w:b/>
        </w:rPr>
        <w:t>Make the certific</w:t>
      </w:r>
      <w:r>
        <w:rPr>
          <w:b/>
        </w:rPr>
        <w:t>ate able to fail.</w:t>
      </w:r>
      <w:r>
        <w:t xml:space="preserve"> Add the fresh-noise retraining comparison and the noise-free attack of this project to the verification step, with a stated statistical test, instead of the identity check.</w:t>
      </w:r>
    </w:p>
    <w:p w:rsidR="00C83028" w:rsidRDefault="00014D93">
      <w:pPr>
        <w:tabs>
          <w:tab w:val="left" w:pos="576"/>
        </w:tabs>
        <w:ind w:left="576" w:hanging="432"/>
      </w:pPr>
      <w:r>
        <w:t>3.</w:t>
      </w:r>
      <w:r>
        <w:tab/>
      </w:r>
      <w:r>
        <w:rPr>
          <w:b/>
        </w:rPr>
        <w:t>Strengthen the attack.</w:t>
      </w:r>
      <w:r>
        <w:t xml:space="preserve"> Use many more member and non-member rec</w:t>
      </w:r>
      <w:r>
        <w:t>ords, calibrated thresholds, shadow-model or likelihood-ratio attacks [15][16], and report AUC with confidence intervals.</w:t>
      </w:r>
    </w:p>
    <w:p w:rsidR="00C83028" w:rsidRDefault="00014D93">
      <w:pPr>
        <w:tabs>
          <w:tab w:val="left" w:pos="576"/>
        </w:tabs>
        <w:ind w:left="576" w:hanging="432"/>
      </w:pPr>
      <w:r>
        <w:t>4.</w:t>
      </w:r>
      <w:r>
        <w:tab/>
      </w:r>
      <w:r>
        <w:rPr>
          <w:b/>
        </w:rPr>
        <w:t>Sign and anchor the ledger.</w:t>
      </w:r>
      <w:r>
        <w:t xml:space="preserve"> Sign each record, publish the latest hash to an external witness, and read only the tail of the file on</w:t>
      </w:r>
      <w:r>
        <w:t xml:space="preserve"> append.</w:t>
      </w:r>
    </w:p>
    <w:p w:rsidR="00C83028" w:rsidRDefault="00014D93">
      <w:pPr>
        <w:tabs>
          <w:tab w:val="left" w:pos="576"/>
        </w:tabs>
        <w:ind w:left="576" w:hanging="432"/>
      </w:pPr>
      <w:r>
        <w:lastRenderedPageBreak/>
        <w:t>5.</w:t>
      </w:r>
      <w:r>
        <w:tab/>
      </w:r>
      <w:r>
        <w:rPr>
          <w:b/>
        </w:rPr>
        <w:t>Fix the API rough edges.</w:t>
      </w:r>
      <w:r>
        <w:t xml:space="preserve"> Return a JSON 413 for oversized bodies, a JSON 405/501 for unsupported methods, and add request validation and rate limits.</w:t>
      </w:r>
    </w:p>
    <w:p w:rsidR="00C83028" w:rsidRDefault="00014D93">
      <w:pPr>
        <w:pStyle w:val="Heading2"/>
      </w:pPr>
      <w:r>
        <w:t>8  Additional Features</w:t>
      </w:r>
    </w:p>
    <w:p w:rsidR="00C83028" w:rsidRDefault="00014D93">
      <w:pPr>
        <w:pStyle w:val="ListBullet"/>
      </w:pPr>
      <w:r>
        <w:t>Authentication and roles (data-subject representative, compliance office</w:t>
      </w:r>
      <w:r>
        <w:t>r, operator) with an approval step before a removal.</w:t>
      </w:r>
    </w:p>
    <w:p w:rsidR="00C83028" w:rsidRDefault="00014D93">
      <w:pPr>
        <w:pStyle w:val="ListBullet"/>
      </w:pPr>
      <w:r>
        <w:t>A request queue and batch removal of several clients, with the ledger recording the request, approval and completion times.</w:t>
      </w:r>
    </w:p>
    <w:p w:rsidR="00C83028" w:rsidRDefault="00014D93">
      <w:pPr>
        <w:pStyle w:val="ListBullet"/>
      </w:pPr>
      <w:r>
        <w:t>Printable or signed certificates (PDF or JSON-LD) and a public verification pag</w:t>
      </w:r>
      <w:r>
        <w:t>e that re-checks a certificate against the ledger.</w:t>
      </w:r>
    </w:p>
    <w:p w:rsidR="00C83028" w:rsidRDefault="00014D93">
      <w:pPr>
        <w:pStyle w:val="ListBullet"/>
      </w:pPr>
      <w:r>
        <w:t>Sample-level and label-level unlearning in addition to client-level removal, as treated in [4].</w:t>
      </w:r>
    </w:p>
    <w:p w:rsidR="00C83028" w:rsidRDefault="00014D93">
      <w:pPr>
        <w:pStyle w:val="ListBullet"/>
      </w:pPr>
      <w:r>
        <w:t>Multiple training rounds with per-round update storage, so that removal can be studied for iterative FedAvg [</w:t>
      </w:r>
      <w:r>
        <w:t>9].</w:t>
      </w:r>
    </w:p>
    <w:p w:rsidR="00C83028" w:rsidRDefault="00014D93">
      <w:pPr>
        <w:pStyle w:val="Heading2"/>
      </w:pPr>
      <w:r>
        <w:t>9  Scalability and Deployment</w:t>
      </w:r>
    </w:p>
    <w:p w:rsidR="00C83028" w:rsidRDefault="00014D93">
      <w:pPr>
        <w:pStyle w:val="ListBullet"/>
      </w:pPr>
      <w:r>
        <w:t xml:space="preserve">Run the API under an ASGI or WSGI server behind a reverse proxy with TLS, in a container image with </w:t>
      </w:r>
      <w:r>
        <w:rPr>
          <w:rFonts w:ascii="Courier New" w:eastAsia="Courier New" w:hAnsi="Courier New" w:cs="Courier New"/>
          <w:sz w:val="21"/>
        </w:rPr>
        <w:t>.env</w:t>
      </w:r>
      <w:r>
        <w:t>-based configuration.</w:t>
      </w:r>
    </w:p>
    <w:p w:rsidR="00C83028" w:rsidRDefault="00014D93">
      <w:pPr>
        <w:pStyle w:val="ListBullet"/>
      </w:pPr>
      <w:r>
        <w:t xml:space="preserve">Replace the in-memory engine by per-tenant sessions backed by a database, and the JSONL file by </w:t>
      </w:r>
      <w:r>
        <w:t>an append-only store with signed batches.</w:t>
      </w:r>
    </w:p>
    <w:p w:rsidR="00C83028" w:rsidRDefault="00014D93">
      <w:pPr>
        <w:pStyle w:val="ListBullet"/>
      </w:pPr>
      <w:r>
        <w:t>Encrypt the stored clipped updates at rest, restrict their access, and define a retention policy; they are the artefact that makes removal possible and are sensitive.</w:t>
      </w:r>
    </w:p>
    <w:p w:rsidR="00C83028" w:rsidRDefault="00014D93">
      <w:pPr>
        <w:pStyle w:val="ListBullet"/>
      </w:pPr>
      <w:r>
        <w:t xml:space="preserve">Add secure aggregation so that the coordinator </w:t>
      </w:r>
      <w:r>
        <w:t>never sees an individual client's update in the clear, and study how per-client subtraction can be supported without it.</w:t>
      </w:r>
    </w:p>
    <w:p w:rsidR="00C83028" w:rsidRDefault="00014D93">
      <w:pPr>
        <w:pStyle w:val="ListBullet"/>
      </w:pPr>
      <w:r>
        <w:t>Measure load and concurrency (the present tests are single-client) and add monitoring of request latency and ledger length.</w:t>
      </w:r>
    </w:p>
    <w:p w:rsidR="00C83028" w:rsidRDefault="00014D93">
      <w:pPr>
        <w:pStyle w:val="Heading2"/>
      </w:pPr>
      <w:r>
        <w:t>10  Further</w:t>
      </w:r>
      <w:r>
        <w:t xml:space="preserve"> Research</w:t>
      </w:r>
    </w:p>
    <w:p w:rsidR="00C83028" w:rsidRDefault="00014D93">
      <w:pPr>
        <w:tabs>
          <w:tab w:val="left" w:pos="576"/>
        </w:tabs>
        <w:ind w:left="576" w:hanging="432"/>
      </w:pPr>
      <w:r>
        <w:t>1.</w:t>
      </w:r>
      <w:r>
        <w:tab/>
      </w:r>
      <w:r>
        <w:rPr>
          <w:b/>
        </w:rPr>
        <w:t>Real federated LLM adapters.</w:t>
      </w:r>
      <w:r>
        <w:t xml:space="preserve"> Replace the bigram vector by a LoRA adapter [22] on a small Hugging Face language model, with Flower for federation and Opacus for accounted DP-SGD, and repeat the noise sweep and the fresh-noise comparison at that</w:t>
      </w:r>
      <w:r>
        <w:t xml:space="preserve"> scale.</w:t>
      </w:r>
    </w:p>
    <w:p w:rsidR="00C83028" w:rsidRDefault="00014D93">
      <w:pPr>
        <w:tabs>
          <w:tab w:val="left" w:pos="576"/>
        </w:tabs>
        <w:ind w:left="576" w:hanging="432"/>
      </w:pPr>
      <w:r>
        <w:t>2.</w:t>
      </w:r>
      <w:r>
        <w:tab/>
      </w:r>
      <w:r>
        <w:rPr>
          <w:b/>
        </w:rPr>
        <w:t>Benchmarks with forget-quality metrics.</w:t>
      </w:r>
      <w:r>
        <w:t xml:space="preserve"> Evaluate on TOFU- and MUSE-style benchmarks and compare with the algorithms studied in [3] (gradient ascent, gradient difference, NPO, SimNPO and retraining).</w:t>
      </w:r>
    </w:p>
    <w:p w:rsidR="00C83028" w:rsidRDefault="00014D93">
      <w:pPr>
        <w:tabs>
          <w:tab w:val="left" w:pos="576"/>
        </w:tabs>
        <w:ind w:left="576" w:hanging="432"/>
      </w:pPr>
      <w:r>
        <w:lastRenderedPageBreak/>
        <w:t>3.</w:t>
      </w:r>
      <w:r>
        <w:tab/>
      </w:r>
      <w:r>
        <w:rPr>
          <w:b/>
        </w:rPr>
        <w:t>Baselines from the literature.</w:t>
      </w:r>
      <w:r>
        <w:t xml:space="preserve"> Implement sh</w:t>
      </w:r>
      <w:r>
        <w:t>arded retraining [12], FedEraser-style calibration [17], certified removal [13][14] and pruning-based unlearning [2] behind the same certificate interface and compare cost, utility and verification strength.</w:t>
      </w:r>
    </w:p>
    <w:p w:rsidR="00C83028" w:rsidRDefault="00014D93">
      <w:pPr>
        <w:tabs>
          <w:tab w:val="left" w:pos="576"/>
        </w:tabs>
        <w:ind w:left="576" w:hanging="432"/>
      </w:pPr>
      <w:r>
        <w:t>4.</w:t>
      </w:r>
      <w:r>
        <w:tab/>
      </w:r>
      <w:r>
        <w:rPr>
          <w:b/>
        </w:rPr>
        <w:t>Extraction and memorisation tests.</w:t>
      </w:r>
      <w:r>
        <w:t xml:space="preserve"> Test wheth</w:t>
      </w:r>
      <w:r>
        <w:t>er a removed client's text can still be extracted from the model [21], and measure memorisation at the example level as in [2] rather than only through a loss-based attack.</w:t>
      </w:r>
    </w:p>
    <w:p w:rsidR="00C83028" w:rsidRDefault="00014D93">
      <w:pPr>
        <w:tabs>
          <w:tab w:val="left" w:pos="576"/>
        </w:tabs>
        <w:ind w:left="576" w:hanging="432"/>
      </w:pPr>
      <w:r>
        <w:t>5.</w:t>
      </w:r>
      <w:r>
        <w:tab/>
      </w:r>
      <w:r>
        <w:rPr>
          <w:b/>
        </w:rPr>
        <w:t>Larger and real corpora.</w:t>
      </w:r>
      <w:r>
        <w:t xml:space="preserve"> Replace the 25 hand-written sentences by public text pa</w:t>
      </w:r>
      <w:r>
        <w:t>rtitioned across clients, with realistic non-identical distributions, and study how overlapping content between clients affects what removal should erase.</w:t>
      </w:r>
    </w:p>
    <w:p w:rsidR="00C83028" w:rsidRDefault="00014D93">
      <w:pPr>
        <w:tabs>
          <w:tab w:val="left" w:pos="576"/>
        </w:tabs>
        <w:ind w:left="576" w:hanging="432"/>
      </w:pPr>
      <w:r>
        <w:t>6.</w:t>
      </w:r>
      <w:r>
        <w:tab/>
      </w:r>
      <w:r>
        <w:rPr>
          <w:b/>
        </w:rPr>
        <w:t>A formal statement of what a certificate means</w:t>
      </w:r>
      <w:r>
        <w:t xml:space="preserve"> under the GDPR [20]: which guarantee (distributiona</w:t>
      </w:r>
      <w:r>
        <w:t>l closeness to retraining, bounded influence, or empirical non-membership) a regulator should accept, and how it composes over repeated requests.</w:t>
      </w:r>
    </w:p>
    <w:p w:rsidR="00C83028" w:rsidRDefault="00014D93">
      <w:pPr>
        <w:pStyle w:val="Heading1"/>
        <w:pageBreakBefore/>
      </w:pPr>
      <w:r>
        <w:lastRenderedPageBreak/>
        <w:t>REFERENCES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[1]</w:t>
      </w:r>
      <w:r>
        <w:rPr>
          <w:sz w:val="22"/>
        </w:rPr>
        <w:tab/>
        <w:t xml:space="preserve">A. Khan, S. Jin, G.-H. Lee, G. E. Arzu, L. M. Dang, T. N. Nguyen, W. Choi, and H. Moon, "Deep </w:t>
      </w:r>
      <w:r>
        <w:rPr>
          <w:sz w:val="22"/>
        </w:rPr>
        <w:t>learning approaches for continuous sign language recognition: A comprehensive review," IEEE Access, vol. 13, pp. 55524-55544, 2025, doi: 10.1109/ACCESS.2025.3554046.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[2]</w:t>
      </w:r>
      <w:r>
        <w:rPr>
          <w:sz w:val="22"/>
        </w:rPr>
        <w:tab/>
        <w:t>J. Wei, Y. Zhang, H. Zhang, L. Y. Zhang, C. Chen, K.-L. Ong, J. Zhang, and Y. Xiang, "</w:t>
      </w:r>
      <w:r>
        <w:rPr>
          <w:sz w:val="22"/>
        </w:rPr>
        <w:t>Rethinking federated unlearning via the lens of memorization," in Proc. 32nd ACM SIGKDD Conf. Knowledge Discovery and Data Mining (KDD '26), Jeju Island, South Korea, Aug. 2026, doi: 10.1145/3770855.3817785; arXiv:2605.24545.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[3]</w:t>
      </w:r>
      <w:r>
        <w:rPr>
          <w:sz w:val="22"/>
        </w:rPr>
        <w:tab/>
        <w:t>F. Zhang, X. Yan, T. Wu, W</w:t>
      </w:r>
      <w:r>
        <w:rPr>
          <w:sz w:val="22"/>
        </w:rPr>
        <w:t>. Li, T. Chen, Y. Cao, R. Yan, L. Huang, W. Y. B. Lim, and Q. Yang, "Oblivionis: A lightweight learning and unlearning framework for federated large language models," arXiv:2508.08875, Aug. 2025.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[4]</w:t>
      </w:r>
      <w:r>
        <w:rPr>
          <w:sz w:val="22"/>
        </w:rPr>
        <w:tab/>
        <w:t>Y. Jiang, X. Tong, Z. Liu, X. Zhang, K.-Y. Lam, and C. W</w:t>
      </w:r>
      <w:r>
        <w:rPr>
          <w:sz w:val="22"/>
        </w:rPr>
        <w:t>. Tan, "Certifying the right to be forgotten: Primal-dual optimization for sample and label unlearning in vertical federated learning," arXiv:2512.23171, 2025.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[5]</w:t>
      </w:r>
      <w:r>
        <w:rPr>
          <w:sz w:val="22"/>
        </w:rPr>
        <w:tab/>
        <w:t>"Federated illusion: Multi-level geometric privacy audit for federated graph unlearning," In</w:t>
      </w:r>
      <w:r>
        <w:rPr>
          <w:sz w:val="22"/>
        </w:rPr>
        <w:t>formation, 2026 (listed in the batch literature survey; not independently retrieved).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[6]</w:t>
      </w:r>
      <w:r>
        <w:rPr>
          <w:sz w:val="22"/>
        </w:rPr>
        <w:tab/>
        <w:t>"Computationally efficient federated unlearning," in Proc. 26th Int. Middleware Conf., 2025 (listed in the batch literature survey; not independently retrieved).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[7]</w:t>
      </w:r>
      <w:r>
        <w:rPr>
          <w:sz w:val="22"/>
        </w:rPr>
        <w:tab/>
      </w:r>
      <w:r>
        <w:rPr>
          <w:sz w:val="22"/>
        </w:rPr>
        <w:t>W. Zhang, "A comprehensive investigation of federated unlearning: Challenges, methods and future prospects in privacy-sensitive applications," in Proc. 2nd Int. Conf. Data Analysis and Machine Learning (DAML), SciTePress, 2024, pp. 569-573, doi: 10.5220/00</w:t>
      </w:r>
      <w:r>
        <w:rPr>
          <w:sz w:val="22"/>
        </w:rPr>
        <w:t>13528500004619.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[8]</w:t>
      </w:r>
      <w:r>
        <w:rPr>
          <w:sz w:val="22"/>
        </w:rPr>
        <w:tab/>
        <w:t>"Unlearning under siege: Robustness risks of certified machine unlearning," Neurocomputing, 2026 (listed in the batch literature survey; not independently retrieved).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[9]</w:t>
      </w:r>
      <w:r>
        <w:rPr>
          <w:sz w:val="22"/>
        </w:rPr>
        <w:tab/>
        <w:t xml:space="preserve">H. B. McMahan, E. Moore, D. Ramage, S. Hampson, and B. Aguera y </w:t>
      </w:r>
      <w:r>
        <w:rPr>
          <w:sz w:val="22"/>
        </w:rPr>
        <w:t>Arcas, "Communication-efficient learning of deep networks from decentralized data," in Proc. 20th Int. Conf. Artificial Intelligence and Statistics (AISTATS), PMLR vol. 54, 2017, pp. 1273-1282.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[10]</w:t>
      </w:r>
      <w:r>
        <w:rPr>
          <w:sz w:val="22"/>
        </w:rPr>
        <w:tab/>
        <w:t>C. Dwork and A. Roth, "The algorithmic foundations of dif</w:t>
      </w:r>
      <w:r>
        <w:rPr>
          <w:sz w:val="22"/>
        </w:rPr>
        <w:t>ferential privacy," Foundations and Trends in Theoretical Computer Science, vol. 9, no. 3-4, pp. 211-407, 2014.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[11]</w:t>
      </w:r>
      <w:r>
        <w:rPr>
          <w:sz w:val="22"/>
        </w:rPr>
        <w:tab/>
        <w:t>M. Abadi, A. Chu, I. Goodfellow, H. B. McMahan, I. Mironov, K. Talwar, and L. Zhang, "Deep learning with differential privacy," in Proc. AC</w:t>
      </w:r>
      <w:r>
        <w:rPr>
          <w:sz w:val="22"/>
        </w:rPr>
        <w:t>M SIGSAC Conf. Computer and Communications Security (CCS), 2016, pp. 308-318.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[12]</w:t>
      </w:r>
      <w:r>
        <w:rPr>
          <w:sz w:val="22"/>
        </w:rPr>
        <w:tab/>
        <w:t xml:space="preserve">L. Bourtoule, V. Chandrasekaran, C. A. Choquette-Choo, H. Jia, A. Travers, B. Zhang, D. Lie, and N. Papernot, "Machine unlearning," in Proc. IEEE Symp. Security and Privacy </w:t>
      </w:r>
      <w:r>
        <w:rPr>
          <w:sz w:val="22"/>
        </w:rPr>
        <w:t>(SP), 2021, pp. 141-159.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[13]</w:t>
      </w:r>
      <w:r>
        <w:rPr>
          <w:sz w:val="22"/>
        </w:rPr>
        <w:tab/>
        <w:t>C. Guo, T. Goldstein, A. Hannun, and L. van der Maaten, "Certified data removal from machine learning models," in Proc. 37th Int. Conf. Machine Learning (ICML), PMLR vol. 119, 2020, pp. 3832-3842.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[14]</w:t>
      </w:r>
      <w:r>
        <w:rPr>
          <w:sz w:val="22"/>
        </w:rPr>
        <w:tab/>
        <w:t xml:space="preserve">A. Sekhari, J. Acharya, </w:t>
      </w:r>
      <w:r>
        <w:rPr>
          <w:sz w:val="22"/>
        </w:rPr>
        <w:t>G. Kamath, and A. T. Suresh, "Remember what you want to forget: Algorithms for machine unlearning," in Advances in Neural Information Processing Systems (NeurIPS), vol. 34, 2021, pp. 18075-18086.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[15]</w:t>
      </w:r>
      <w:r>
        <w:rPr>
          <w:sz w:val="22"/>
        </w:rPr>
        <w:tab/>
        <w:t>R. Shokri, M. Stronati, C. Song, and V. Shmatikov, "Mem</w:t>
      </w:r>
      <w:r>
        <w:rPr>
          <w:sz w:val="22"/>
        </w:rPr>
        <w:t>bership inference attacks against machine learning models," in Proc. IEEE Symp. Security and Privacy (SP), 2017, pp. 3-18.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lastRenderedPageBreak/>
        <w:t>[16]</w:t>
      </w:r>
      <w:r>
        <w:rPr>
          <w:sz w:val="22"/>
        </w:rPr>
        <w:tab/>
        <w:t xml:space="preserve">S. Yeom, I. Giacomelli, M. Fredrikson, and S. Jha, "Privacy risk in machine learning: Analyzing the connection to overfitting," </w:t>
      </w:r>
      <w:r>
        <w:rPr>
          <w:sz w:val="22"/>
        </w:rPr>
        <w:t>in Proc. IEEE 31st Computer Security Foundations Symp. (CSF), 2018, pp. 268-282.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[17]</w:t>
      </w:r>
      <w:r>
        <w:rPr>
          <w:sz w:val="22"/>
        </w:rPr>
        <w:tab/>
        <w:t>G. Liu, X. Ma, Y. Yang, C. Wang, and J. Liu, "FedEraser: Enabling efficient client-level data removal from federated learning models," in Proc. IEEE/ACM 29th Int. Symp. Q</w:t>
      </w:r>
      <w:r>
        <w:rPr>
          <w:sz w:val="22"/>
        </w:rPr>
        <w:t>uality of Service (IWQoS), 2021, pp. 1-10.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[18]</w:t>
      </w:r>
      <w:r>
        <w:rPr>
          <w:sz w:val="22"/>
        </w:rPr>
        <w:tab/>
        <w:t>Y. Cao and J. Yang, "Towards making systems forget with machine unlearning," in Proc. IEEE Symp. Security and Privacy (SP), 2015, pp. 463-480.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[19]</w:t>
      </w:r>
      <w:r>
        <w:rPr>
          <w:sz w:val="22"/>
        </w:rPr>
        <w:tab/>
        <w:t>B. Balle and Y.-X. Wang, "Improving the Gaussian mechanism f</w:t>
      </w:r>
      <w:r>
        <w:rPr>
          <w:sz w:val="22"/>
        </w:rPr>
        <w:t>or differential privacy: Analytical calibration and optimal denoising," in Proc. 35th Int. Conf. Machine Learning (ICML), PMLR vol. 80, 2018, pp. 394-403.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[20]</w:t>
      </w:r>
      <w:r>
        <w:rPr>
          <w:sz w:val="22"/>
        </w:rPr>
        <w:tab/>
        <w:t>European Parliament and Council, "Regulation (EU) 2016/679 (General Data Protection Regulation),</w:t>
      </w:r>
      <w:r>
        <w:rPr>
          <w:sz w:val="22"/>
        </w:rPr>
        <w:t>" Official Journal of the European Union, L 119, May 2016, Art. 17 (right to erasure).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[21]</w:t>
      </w:r>
      <w:r>
        <w:rPr>
          <w:sz w:val="22"/>
        </w:rPr>
        <w:tab/>
        <w:t>N. Carlini, F. Tramer, E. Wallace, M. Jagielski, A. Herbert-Voss, K. Lee, A. Roberts, T. Brown, D. Song, U. Erlingsson, A. Oprea, and C. Raffel, "Extracting trainin</w:t>
      </w:r>
      <w:r>
        <w:rPr>
          <w:sz w:val="22"/>
        </w:rPr>
        <w:t>g data from large language models," in Proc. 30th USENIX Security Symp., 2021, pp. 2633-2650.</w:t>
      </w:r>
    </w:p>
    <w:p w:rsidR="00C83028" w:rsidRDefault="00014D93">
      <w:pPr>
        <w:spacing w:after="80" w:line="288" w:lineRule="auto"/>
        <w:ind w:left="648" w:hanging="648"/>
        <w:jc w:val="left"/>
      </w:pPr>
      <w:r>
        <w:rPr>
          <w:sz w:val="22"/>
        </w:rPr>
        <w:t>[22]</w:t>
      </w:r>
      <w:r>
        <w:rPr>
          <w:sz w:val="22"/>
        </w:rPr>
        <w:tab/>
        <w:t>E. J. Hu, Y. Shen, P. Wallis, Z. Allen-Zhu, Y. Li, S. Wang, L. Wang, and W. Chen, "LoRA: Low-rank adaptation of large language models," in Proc. Int. Conf. L</w:t>
      </w:r>
      <w:r>
        <w:rPr>
          <w:sz w:val="22"/>
        </w:rPr>
        <w:t>earning Representations (ICLR), 2022.</w:t>
      </w:r>
    </w:p>
    <w:p w:rsidR="00C83028" w:rsidRDefault="00014D93">
      <w:pPr>
        <w:spacing w:line="276" w:lineRule="auto"/>
      </w:pPr>
      <w:r>
        <w:rPr>
          <w:i/>
          <w:sz w:val="20"/>
        </w:rPr>
        <w:t>Note: references [1] to [4] and [9] to [22] were checked against their sources or are standard published works; [5], [6], [8] are titles taken from the batch literature survey that could not be located by independent s</w:t>
      </w:r>
      <w:r>
        <w:rPr>
          <w:i/>
          <w:sz w:val="20"/>
        </w:rPr>
        <w:t>earch, so they are listed as given and no claim in this report depends on their content. Reference [1] is the base paper recorded in the batch files; only its review method is adopted. Reference [2] is the 2026 paper named in the project's base-paper archi</w:t>
      </w:r>
      <w:r>
        <w:rPr>
          <w:i/>
          <w:sz w:val="20"/>
        </w:rPr>
        <w:t>ve.</w:t>
      </w:r>
    </w:p>
    <w:sectPr w:rsidR="00C83028" w:rsidSect="00034616">
      <w:headerReference w:type="default" r:id="rId9"/>
      <w:footerReference w:type="default" r:id="rId10"/>
      <w:pgSz w:w="11909" w:h="16834"/>
      <w:pgMar w:top="1152" w:right="1152" w:bottom="1152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014D93">
      <w:pPr>
        <w:spacing w:after="0" w:line="240" w:lineRule="auto"/>
      </w:pPr>
      <w:r>
        <w:separator/>
      </w:r>
    </w:p>
  </w:endnote>
  <w:endnote w:type="continuationSeparator" w:id="0">
    <w:p w:rsidR="00000000" w:rsidRDefault="00014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3028" w:rsidRDefault="00014D93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014D93">
      <w:pPr>
        <w:spacing w:after="0" w:line="240" w:lineRule="auto"/>
      </w:pPr>
      <w:r>
        <w:separator/>
      </w:r>
    </w:p>
  </w:footnote>
  <w:footnote w:type="continuationSeparator" w:id="0">
    <w:p w:rsidR="00000000" w:rsidRDefault="00014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3028" w:rsidRDefault="00014D93">
    <w:pPr>
      <w:pStyle w:val="Header"/>
      <w:jc w:val="right"/>
    </w:pPr>
    <w:r>
      <w:rPr>
        <w:i/>
        <w:color w:val="555555"/>
        <w:sz w:val="18"/>
      </w:rPr>
      <w:t>ForgetSafe -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93"/>
    <w:rsid w:val="00034616"/>
    <w:rsid w:val="0006063C"/>
    <w:rsid w:val="0015074B"/>
    <w:rsid w:val="0029639D"/>
    <w:rsid w:val="00326F90"/>
    <w:rsid w:val="00AA1D8D"/>
    <w:rsid w:val="00B47730"/>
    <w:rsid w:val="00C830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1ACD552-0CD9-4CAF-AAEE-749E911B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40" w:line="36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line="276" w:lineRule="auto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1"/>
    </w:pPr>
    <w:rPr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76" w:lineRule="auto"/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Normal"/>
    <w:pPr>
      <w:keepLines/>
      <w:spacing w:before="80" w:after="200" w:line="240" w:lineRule="auto"/>
      <w:jc w:val="center"/>
    </w:pPr>
    <w:rPr>
      <w:b/>
      <w:sz w:val="22"/>
    </w:rPr>
  </w:style>
  <w:style w:type="paragraph" w:customStyle="1" w:styleId="TableCaption">
    <w:name w:val="Table Caption"/>
    <w:basedOn w:val="Normal"/>
    <w:pPr>
      <w:keepNext/>
      <w:spacing w:before="80" w:after="200" w:line="240" w:lineRule="auto"/>
      <w:jc w:val="center"/>
    </w:pPr>
    <w:rPr>
      <w:b/>
      <w:sz w:val="22"/>
    </w:rPr>
  </w:style>
  <w:style w:type="paragraph" w:customStyle="1" w:styleId="FrontHeading">
    <w:name w:val="Front Heading"/>
    <w:basedOn w:val="Normal"/>
    <w:pPr>
      <w:keepNext/>
      <w:spacing w:after="240"/>
      <w:jc w:val="center"/>
    </w:pPr>
    <w:rPr>
      <w:b/>
      <w:sz w:val="28"/>
    </w:rPr>
  </w:style>
  <w:style w:type="paragraph" w:customStyle="1" w:styleId="CodeBlock">
    <w:name w:val="Code Block"/>
    <w:basedOn w:val="Normal"/>
    <w:pPr>
      <w:spacing w:after="0" w:line="240" w:lineRule="auto"/>
      <w:jc w:val="left"/>
    </w:pPr>
    <w:rPr>
      <w:rFonts w:ascii="Courier New" w:eastAsia="Courier New" w:hAnsi="Courier New" w:cs="Courier New"/>
      <w:sz w:val="15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14D93"/>
    <w:pPr>
      <w:spacing w:after="2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014D93"/>
    <w:pPr>
      <w:spacing w:after="20" w:line="240" w:lineRule="auto"/>
      <w:ind w:left="240"/>
    </w:pPr>
    <w:rPr>
      <w:sz w:val="20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014D93"/>
    <w:pPr>
      <w:spacing w:after="2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75A48B-55EC-431C-B259-625E85654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2447</Words>
  <Characters>13391</Characters>
  <Application>Microsoft Office Word</Application>
  <DocSecurity>0</DocSecurity>
  <Lines>257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Batch A9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2026-10-26T14:53:00Z</dcterms:modified>
  <cp:category/>
</cp:coreProperties>
</file>