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04669"/>
          <w:sz w:val="40"/>
        </w:rPr>
        <w:t>AI Powered Intelligent Hospital Patient Flow Management System</w:t>
      </w:r>
    </w:p>
    <w:p>
      <w:pPr>
        <w:jc w:val="center"/>
      </w:pPr>
      <w:r>
        <w:rPr>
          <w:b/>
          <w:sz w:val="34"/>
        </w:rPr>
        <w:t>RESULTS</w:t>
      </w:r>
    </w:p>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rPr>
              <w:t>Student</w:t>
            </w:r>
          </w:p>
        </w:tc>
        <w:tc>
          <w:tcPr>
            <w:tcW w:type="dxa" w:w="4802"/>
            <w:shd w:val="clear" w:fill="1F4E78"/>
          </w:tcPr>
          <w:p>
            <w:r>
              <w:rPr>
                <w:b/>
                <w:color w:val="FFFFFF"/>
              </w:rPr>
              <w:t>Hall Ticket No.</w:t>
            </w:r>
          </w:p>
        </w:tc>
      </w:tr>
      <w:tr>
        <w:tc>
          <w:tcPr>
            <w:tcW w:type="dxa" w:w="4802"/>
          </w:tcPr>
          <w:p>
            <w:r>
              <w:t>A. RAMU</w:t>
            </w:r>
          </w:p>
        </w:tc>
        <w:tc>
          <w:tcPr>
            <w:tcW w:type="dxa" w:w="4802"/>
          </w:tcPr>
          <w:p>
            <w:r>
              <w:t>23K91A6715</w:t>
            </w:r>
          </w:p>
        </w:tc>
      </w:tr>
      <w:tr>
        <w:tc>
          <w:tcPr>
            <w:tcW w:type="dxa" w:w="4802"/>
          </w:tcPr>
          <w:p>
            <w:r>
              <w:t>B. RUSHI</w:t>
            </w:r>
          </w:p>
        </w:tc>
        <w:tc>
          <w:tcPr>
            <w:tcW w:type="dxa" w:w="4802"/>
          </w:tcPr>
          <w:p>
            <w:r>
              <w:t>23K91A6720</w:t>
            </w:r>
          </w:p>
        </w:tc>
      </w:tr>
      <w:tr>
        <w:tc>
          <w:tcPr>
            <w:tcW w:type="dxa" w:w="4802"/>
          </w:tcPr>
          <w:p>
            <w:r>
              <w:t>B. RAJ KUMAR</w:t>
            </w:r>
          </w:p>
        </w:tc>
        <w:tc>
          <w:tcPr>
            <w:tcW w:type="dxa" w:w="4802"/>
          </w:tcPr>
          <w:p>
            <w:r>
              <w:t>23K91A6725</w:t>
            </w:r>
          </w:p>
        </w:tc>
      </w:tr>
      <w:tr>
        <w:tc>
          <w:tcPr>
            <w:tcW w:type="dxa" w:w="4802"/>
          </w:tcPr>
          <w:p>
            <w:r>
              <w:t>A. PRABHAS</w:t>
            </w:r>
          </w:p>
        </w:tc>
        <w:tc>
          <w:tcPr>
            <w:tcW w:type="dxa" w:w="4802"/>
          </w:tcPr>
          <w:p>
            <w:r>
              <w:t>23K91A6703</w:t>
            </w:r>
          </w:p>
        </w:tc>
      </w:tr>
    </w:tbl>
    <w:p>
      <w:pPr>
        <w:jc w:val="center"/>
      </w:pPr>
      <w:r>
        <w:rPr>
          <w:b/>
        </w:rPr>
        <w:t>Under the guidance of [GUIDE NAME]</w:t>
      </w:r>
    </w:p>
    <w:p>
      <w:pPr>
        <w:jc w:val="center"/>
      </w:pPr>
      <w:r>
        <w:t>Department of Computer Science and Engineering (Data Science)</w:t>
        <w:br/>
        <w:t>[COLLEGE NAME]</w:t>
        <w:br/>
        <w:t>[ACADEMIC YEAR]</w:t>
      </w:r>
    </w:p>
    <w:p>
      <w:r>
        <w:br w:type="page"/>
      </w:r>
    </w:p>
    <w:p>
      <w:pPr>
        <w:pStyle w:val="Heading1"/>
      </w:pPr>
      <w:r>
        <w:t>1. Measurement Conditions</w:t>
      </w:r>
    </w:p>
    <w:p>
      <w:pPr>
        <w:jc w:val="both"/>
      </w:pPr>
      <w:r>
        <w:t>Measurements were taken on Windows 11 Pro 64-bit, Intel Core i5-12500 (6 cores, 12 logical processors), 15.7 GB RAM and Python 3.11.9. Models were evaluated on deterministic synthetic test partitions. API timings are 15 sequential loopback requests per read endpoint against Uvicorn, FastAPI and SQLite. The screenshots use a synthetic demonstration database and Google Chrome at 1440 x 900.</w:t>
      </w:r>
    </w:p>
    <w:p>
      <w:pPr>
        <w:pStyle w:val="Caption"/>
        <w:jc w:val="center"/>
      </w:pPr>
      <w:r>
        <w:t>Table 1. Measured model results.</w:t>
      </w:r>
    </w:p>
    <w:tbl>
      <w:tblPr>
        <w:tblStyle w:val="TableGrid"/>
        <w:tblW w:type="auto" w:w="0"/>
        <w:jc w:val="center"/>
        <w:tblLook w:firstColumn="1" w:firstRow="1" w:lastColumn="0" w:lastRow="0" w:noHBand="0" w:noVBand="1" w:val="04A0"/>
      </w:tblPr>
      <w:tblGrid>
        <w:gridCol w:w="2401"/>
        <w:gridCol w:w="2401"/>
        <w:gridCol w:w="2401"/>
        <w:gridCol w:w="2401"/>
      </w:tblGrid>
      <w:tr>
        <w:tc>
          <w:tcPr>
            <w:tcW w:type="dxa" w:w="2401"/>
            <w:shd w:val="clear" w:fill="1F4E78"/>
          </w:tcPr>
          <w:p>
            <w:r>
              <w:rPr>
                <w:b/>
                <w:color w:val="FFFFFF"/>
                <w:sz w:val="18"/>
              </w:rPr>
              <w:t>Model</w:t>
            </w:r>
          </w:p>
        </w:tc>
        <w:tc>
          <w:tcPr>
            <w:tcW w:type="dxa" w:w="2401"/>
            <w:shd w:val="clear" w:fill="1F4E78"/>
          </w:tcPr>
          <w:p>
            <w:r>
              <w:rPr>
                <w:b/>
                <w:color w:val="FFFFFF"/>
                <w:sz w:val="18"/>
              </w:rPr>
              <w:t>Evidence</w:t>
            </w:r>
          </w:p>
        </w:tc>
        <w:tc>
          <w:tcPr>
            <w:tcW w:type="dxa" w:w="2401"/>
            <w:shd w:val="clear" w:fill="1F4E78"/>
          </w:tcPr>
          <w:p>
            <w:r>
              <w:rPr>
                <w:b/>
                <w:color w:val="FFFFFF"/>
                <w:sz w:val="18"/>
              </w:rPr>
              <w:t>Metric</w:t>
            </w:r>
          </w:p>
        </w:tc>
        <w:tc>
          <w:tcPr>
            <w:tcW w:type="dxa" w:w="2401"/>
            <w:shd w:val="clear" w:fill="1F4E78"/>
          </w:tcPr>
          <w:p>
            <w:r>
              <w:rPr>
                <w:b/>
                <w:color w:val="FFFFFF"/>
                <w:sz w:val="18"/>
              </w:rPr>
              <w:t>Value</w:t>
            </w:r>
          </w:p>
        </w:tc>
      </w:tr>
      <w:tr>
        <w:tc>
          <w:tcPr>
            <w:tcW w:type="dxa" w:w="2401"/>
            <w:vAlign w:val="center"/>
          </w:tcPr>
          <w:p>
            <w:pPr>
              <w:spacing w:line="240" w:lineRule="auto" w:after="40"/>
            </w:pPr>
            <w:r>
              <w:rPr>
                <w:sz w:val="18"/>
              </w:rPr>
              <w:t>Wait-time regressor</w:t>
            </w:r>
          </w:p>
        </w:tc>
        <w:tc>
          <w:tcPr>
            <w:tcW w:type="dxa" w:w="2401"/>
            <w:vAlign w:val="center"/>
          </w:tcPr>
          <w:p>
            <w:pPr>
              <w:spacing w:line="240" w:lineRule="auto" w:after="40"/>
            </w:pPr>
            <w:r>
              <w:rPr>
                <w:sz w:val="18"/>
              </w:rPr>
              <w:t>12,000 synthetic rows</w:t>
            </w:r>
          </w:p>
        </w:tc>
        <w:tc>
          <w:tcPr>
            <w:tcW w:type="dxa" w:w="2401"/>
            <w:vAlign w:val="center"/>
          </w:tcPr>
          <w:p>
            <w:pPr>
              <w:spacing w:line="240" w:lineRule="auto" w:after="40"/>
            </w:pPr>
            <w:r>
              <w:rPr>
                <w:sz w:val="18"/>
              </w:rPr>
              <w:t>R-squared</w:t>
            </w:r>
          </w:p>
        </w:tc>
        <w:tc>
          <w:tcPr>
            <w:tcW w:type="dxa" w:w="2401"/>
            <w:vAlign w:val="center"/>
          </w:tcPr>
          <w:p>
            <w:pPr>
              <w:spacing w:line="240" w:lineRule="auto" w:after="40"/>
            </w:pPr>
            <w:r>
              <w:rPr>
                <w:sz w:val="18"/>
              </w:rPr>
              <w:t>0.951041</w:t>
            </w:r>
          </w:p>
        </w:tc>
      </w:tr>
      <w:tr>
        <w:tc>
          <w:tcPr>
            <w:tcW w:type="dxa" w:w="2401"/>
            <w:vAlign w:val="center"/>
          </w:tcPr>
          <w:p>
            <w:pPr>
              <w:spacing w:line="240" w:lineRule="auto" w:after="40"/>
            </w:pPr>
            <w:r>
              <w:rPr>
                <w:sz w:val="18"/>
              </w:rPr>
              <w:t>Wait-time regressor</w:t>
            </w:r>
          </w:p>
        </w:tc>
        <w:tc>
          <w:tcPr>
            <w:tcW w:type="dxa" w:w="2401"/>
            <w:vAlign w:val="center"/>
          </w:tcPr>
          <w:p>
            <w:pPr>
              <w:spacing w:line="240" w:lineRule="auto" w:after="40"/>
            </w:pPr>
            <w:r>
              <w:rPr>
                <w:sz w:val="18"/>
              </w:rPr>
              <w:t>1,800-row test</w:t>
            </w:r>
          </w:p>
        </w:tc>
        <w:tc>
          <w:tcPr>
            <w:tcW w:type="dxa" w:w="2401"/>
            <w:vAlign w:val="center"/>
          </w:tcPr>
          <w:p>
            <w:pPr>
              <w:spacing w:line="240" w:lineRule="auto" w:after="40"/>
            </w:pPr>
            <w:r>
              <w:rPr>
                <w:sz w:val="18"/>
              </w:rPr>
              <w:t>MAE</w:t>
            </w:r>
          </w:p>
        </w:tc>
        <w:tc>
          <w:tcPr>
            <w:tcW w:type="dxa" w:w="2401"/>
            <w:vAlign w:val="center"/>
          </w:tcPr>
          <w:p>
            <w:pPr>
              <w:spacing w:line="240" w:lineRule="auto" w:after="40"/>
            </w:pPr>
            <w:r>
              <w:rPr>
                <w:sz w:val="18"/>
              </w:rPr>
              <w:t>5.982 min</w:t>
            </w:r>
          </w:p>
        </w:tc>
      </w:tr>
      <w:tr>
        <w:tc>
          <w:tcPr>
            <w:tcW w:type="dxa" w:w="2401"/>
            <w:vAlign w:val="center"/>
          </w:tcPr>
          <w:p>
            <w:pPr>
              <w:spacing w:line="240" w:lineRule="auto" w:after="40"/>
            </w:pPr>
            <w:r>
              <w:rPr>
                <w:sz w:val="18"/>
              </w:rPr>
              <w:t>Wait-time regressor</w:t>
            </w:r>
          </w:p>
        </w:tc>
        <w:tc>
          <w:tcPr>
            <w:tcW w:type="dxa" w:w="2401"/>
            <w:vAlign w:val="center"/>
          </w:tcPr>
          <w:p>
            <w:pPr>
              <w:spacing w:line="240" w:lineRule="auto" w:after="40"/>
            </w:pPr>
            <w:r>
              <w:rPr>
                <w:sz w:val="18"/>
              </w:rPr>
              <w:t>1,800-row test</w:t>
            </w:r>
          </w:p>
        </w:tc>
        <w:tc>
          <w:tcPr>
            <w:tcW w:type="dxa" w:w="2401"/>
            <w:vAlign w:val="center"/>
          </w:tcPr>
          <w:p>
            <w:pPr>
              <w:spacing w:line="240" w:lineRule="auto" w:after="40"/>
            </w:pPr>
            <w:r>
              <w:rPr>
                <w:sz w:val="18"/>
              </w:rPr>
              <w:t>RMSE</w:t>
            </w:r>
          </w:p>
        </w:tc>
        <w:tc>
          <w:tcPr>
            <w:tcW w:type="dxa" w:w="2401"/>
            <w:vAlign w:val="center"/>
          </w:tcPr>
          <w:p>
            <w:pPr>
              <w:spacing w:line="240" w:lineRule="auto" w:after="40"/>
            </w:pPr>
            <w:r>
              <w:rPr>
                <w:sz w:val="18"/>
              </w:rPr>
              <w:t>8.580 min</w:t>
            </w:r>
          </w:p>
        </w:tc>
      </w:tr>
      <w:tr>
        <w:tc>
          <w:tcPr>
            <w:tcW w:type="dxa" w:w="2401"/>
            <w:vAlign w:val="center"/>
          </w:tcPr>
          <w:p>
            <w:pPr>
              <w:spacing w:line="240" w:lineRule="auto" w:after="40"/>
            </w:pPr>
            <w:r>
              <w:rPr>
                <w:sz w:val="18"/>
              </w:rPr>
              <w:t>Triage classifier</w:t>
            </w:r>
          </w:p>
        </w:tc>
        <w:tc>
          <w:tcPr>
            <w:tcW w:type="dxa" w:w="2401"/>
            <w:vAlign w:val="center"/>
          </w:tcPr>
          <w:p>
            <w:pPr>
              <w:spacing w:line="240" w:lineRule="auto" w:after="40"/>
            </w:pPr>
            <w:r>
              <w:rPr>
                <w:sz w:val="18"/>
              </w:rPr>
              <w:t>2,250-row test</w:t>
            </w:r>
          </w:p>
        </w:tc>
        <w:tc>
          <w:tcPr>
            <w:tcW w:type="dxa" w:w="2401"/>
            <w:vAlign w:val="center"/>
          </w:tcPr>
          <w:p>
            <w:pPr>
              <w:spacing w:line="240" w:lineRule="auto" w:after="40"/>
            </w:pPr>
            <w:r>
              <w:rPr>
                <w:sz w:val="18"/>
              </w:rPr>
              <w:t>Accuracy</w:t>
            </w:r>
          </w:p>
        </w:tc>
        <w:tc>
          <w:tcPr>
            <w:tcW w:type="dxa" w:w="2401"/>
            <w:vAlign w:val="center"/>
          </w:tcPr>
          <w:p>
            <w:pPr>
              <w:spacing w:line="240" w:lineRule="auto" w:after="40"/>
            </w:pPr>
            <w:r>
              <w:rPr>
                <w:sz w:val="18"/>
              </w:rPr>
              <w:t>0.9680</w:t>
            </w:r>
          </w:p>
        </w:tc>
      </w:tr>
      <w:tr>
        <w:tc>
          <w:tcPr>
            <w:tcW w:type="dxa" w:w="2401"/>
            <w:vAlign w:val="center"/>
          </w:tcPr>
          <w:p>
            <w:pPr>
              <w:spacing w:line="240" w:lineRule="auto" w:after="40"/>
            </w:pPr>
            <w:r>
              <w:rPr>
                <w:sz w:val="18"/>
              </w:rPr>
              <w:t>Triage classifier</w:t>
            </w:r>
          </w:p>
        </w:tc>
        <w:tc>
          <w:tcPr>
            <w:tcW w:type="dxa" w:w="2401"/>
            <w:vAlign w:val="center"/>
          </w:tcPr>
          <w:p>
            <w:pPr>
              <w:spacing w:line="240" w:lineRule="auto" w:after="40"/>
            </w:pPr>
            <w:r>
              <w:rPr>
                <w:sz w:val="18"/>
              </w:rPr>
              <w:t>2,250-row test</w:t>
            </w:r>
          </w:p>
        </w:tc>
        <w:tc>
          <w:tcPr>
            <w:tcW w:type="dxa" w:w="2401"/>
            <w:vAlign w:val="center"/>
          </w:tcPr>
          <w:p>
            <w:pPr>
              <w:spacing w:line="240" w:lineRule="auto" w:after="40"/>
            </w:pPr>
            <w:r>
              <w:rPr>
                <w:sz w:val="18"/>
              </w:rPr>
              <w:t>Macro F1</w:t>
            </w:r>
          </w:p>
        </w:tc>
        <w:tc>
          <w:tcPr>
            <w:tcW w:type="dxa" w:w="2401"/>
            <w:vAlign w:val="center"/>
          </w:tcPr>
          <w:p>
            <w:pPr>
              <w:spacing w:line="240" w:lineRule="auto" w:after="40"/>
            </w:pPr>
            <w:r>
              <w:rPr>
                <w:sz w:val="18"/>
              </w:rPr>
              <w:t>0.898475</w:t>
            </w:r>
          </w:p>
        </w:tc>
      </w:tr>
      <w:tr>
        <w:tc>
          <w:tcPr>
            <w:tcW w:type="dxa" w:w="2401"/>
            <w:vAlign w:val="center"/>
          </w:tcPr>
          <w:p>
            <w:pPr>
              <w:spacing w:line="240" w:lineRule="auto" w:after="40"/>
            </w:pPr>
            <w:r>
              <w:rPr>
                <w:sz w:val="18"/>
              </w:rPr>
              <w:t>Triage classifier</w:t>
            </w:r>
          </w:p>
        </w:tc>
        <w:tc>
          <w:tcPr>
            <w:tcW w:type="dxa" w:w="2401"/>
            <w:vAlign w:val="center"/>
          </w:tcPr>
          <w:p>
            <w:pPr>
              <w:spacing w:line="240" w:lineRule="auto" w:after="40"/>
            </w:pPr>
            <w:r>
              <w:rPr>
                <w:sz w:val="18"/>
              </w:rPr>
              <w:t>100 critical cases</w:t>
            </w:r>
          </w:p>
        </w:tc>
        <w:tc>
          <w:tcPr>
            <w:tcW w:type="dxa" w:w="2401"/>
            <w:vAlign w:val="center"/>
          </w:tcPr>
          <w:p>
            <w:pPr>
              <w:spacing w:line="240" w:lineRule="auto" w:after="40"/>
            </w:pPr>
            <w:r>
              <w:rPr>
                <w:sz w:val="18"/>
              </w:rPr>
              <w:t>Critical recall</w:t>
            </w:r>
          </w:p>
        </w:tc>
        <w:tc>
          <w:tcPr>
            <w:tcW w:type="dxa" w:w="2401"/>
            <w:vAlign w:val="center"/>
          </w:tcPr>
          <w:p>
            <w:pPr>
              <w:spacing w:line="240" w:lineRule="auto" w:after="40"/>
            </w:pPr>
            <w:r>
              <w:rPr>
                <w:sz w:val="18"/>
              </w:rPr>
              <w:t>0.63</w:t>
            </w:r>
          </w:p>
        </w:tc>
      </w:tr>
    </w:tbl>
    <w:p>
      <w:r>
        <w:br w:type="page"/>
      </w:r>
    </w:p>
    <w:p>
      <w:pPr>
        <w:pStyle w:val="Heading2"/>
      </w:pPr>
      <w:r>
        <w:t>2. Model Performance</w:t>
      </w:r>
    </w:p>
    <w:p>
      <w:pPr>
        <w:jc w:val="center"/>
      </w:pPr>
      <w:r>
        <w:drawing>
          <wp:inline xmlns:a="http://schemas.openxmlformats.org/drawingml/2006/main" xmlns:pic="http://schemas.openxmlformats.org/drawingml/2006/picture">
            <wp:extent cx="5623560" cy="3819378"/>
            <wp:docPr id="1" name="Picture 1"/>
            <wp:cNvGraphicFramePr>
              <a:graphicFrameLocks noChangeAspect="1"/>
            </wp:cNvGraphicFramePr>
            <a:graphic>
              <a:graphicData uri="http://schemas.openxmlformats.org/drawingml/2006/picture">
                <pic:pic>
                  <pic:nvPicPr>
                    <pic:cNvPr id="0" name="02_model_metrics.png"/>
                    <pic:cNvPicPr/>
                  </pic:nvPicPr>
                  <pic:blipFill>
                    <a:blip r:embed="rId11"/>
                    <a:stretch>
                      <a:fillRect/>
                    </a:stretch>
                  </pic:blipFill>
                  <pic:spPr>
                    <a:xfrm>
                      <a:off x="0" y="0"/>
                      <a:ext cx="5623560" cy="3819378"/>
                    </a:xfrm>
                    <a:prstGeom prst="rect"/>
                  </pic:spPr>
                </pic:pic>
              </a:graphicData>
            </a:graphic>
          </wp:inline>
        </w:drawing>
      </w:r>
    </w:p>
    <w:p>
      <w:pPr>
        <w:pStyle w:val="Caption"/>
        <w:jc w:val="center"/>
      </w:pPr>
      <w:r>
        <w:t>Figure 1. Measured model metrics.</w:t>
      </w:r>
    </w:p>
    <w:p>
      <w:pPr>
        <w:jc w:val="both"/>
      </w:pPr>
      <w:r>
        <w:t>The wait model reconstructs its designed synthetic relationship with R-squared 0.951041. Its MAE of 5.982 minutes and RMSE of 8.580 minutes show that larger misses remain. The triage model reached 96.80% accuracy and 0.898475 macro F1, while its 63% critical recall is the decisive safety limitation.</w:t>
      </w:r>
    </w:p>
    <w:p>
      <w:r>
        <w:br w:type="page"/>
      </w:r>
    </w:p>
    <w:p>
      <w:pPr>
        <w:pStyle w:val="Heading2"/>
      </w:pPr>
      <w:r>
        <w:t>3. Triage Error Analysis</w:t>
      </w:r>
    </w:p>
    <w:p>
      <w:pPr>
        <w:jc w:val="center"/>
      </w:pPr>
      <w:r>
        <w:drawing>
          <wp:inline xmlns:a="http://schemas.openxmlformats.org/drawingml/2006/main" xmlns:pic="http://schemas.openxmlformats.org/drawingml/2006/picture">
            <wp:extent cx="5623560" cy="5444798"/>
            <wp:docPr id="2" name="Picture 2"/>
            <wp:cNvGraphicFramePr>
              <a:graphicFrameLocks noChangeAspect="1"/>
            </wp:cNvGraphicFramePr>
            <a:graphic>
              <a:graphicData uri="http://schemas.openxmlformats.org/drawingml/2006/picture">
                <pic:pic>
                  <pic:nvPicPr>
                    <pic:cNvPr id="0" name="01_triage_confusion_matrix.png"/>
                    <pic:cNvPicPr/>
                  </pic:nvPicPr>
                  <pic:blipFill>
                    <a:blip r:embed="rId12"/>
                    <a:stretch>
                      <a:fillRect/>
                    </a:stretch>
                  </pic:blipFill>
                  <pic:spPr>
                    <a:xfrm>
                      <a:off x="0" y="0"/>
                      <a:ext cx="5623560" cy="5444798"/>
                    </a:xfrm>
                    <a:prstGeom prst="rect"/>
                  </pic:spPr>
                </pic:pic>
              </a:graphicData>
            </a:graphic>
          </wp:inline>
        </w:drawing>
      </w:r>
    </w:p>
    <w:p>
      <w:pPr>
        <w:pStyle w:val="Caption"/>
        <w:jc w:val="center"/>
      </w:pPr>
      <w:r>
        <w:t>Figure 2. Triage confusion matrix.</w:t>
      </w:r>
    </w:p>
    <w:p>
      <w:pPr>
        <w:jc w:val="both"/>
      </w:pPr>
      <w:r>
        <w:t>Thirty-seven of 100 actual critical examples were classified as urgent, while two urgent cases were classified as critical and 31 urgent cases as normal. The classifier therefore requires clinician override, threshold/cost-sensitive investigation and external validation before any clinical use.</w:t>
      </w:r>
    </w:p>
    <w:p>
      <w:r>
        <w:br w:type="page"/>
      </w:r>
    </w:p>
    <w:p>
      <w:pPr>
        <w:pStyle w:val="Heading2"/>
      </w:pPr>
      <w:r>
        <w:t>4. API and Build Results</w:t>
      </w:r>
    </w:p>
    <w:p>
      <w:pPr>
        <w:jc w:val="center"/>
      </w:pPr>
      <w:r>
        <w:drawing>
          <wp:inline xmlns:a="http://schemas.openxmlformats.org/drawingml/2006/main" xmlns:pic="http://schemas.openxmlformats.org/drawingml/2006/picture">
            <wp:extent cx="5623560" cy="3560357"/>
            <wp:docPr id="3" name="Picture 3"/>
            <wp:cNvGraphicFramePr>
              <a:graphicFrameLocks noChangeAspect="1"/>
            </wp:cNvGraphicFramePr>
            <a:graphic>
              <a:graphicData uri="http://schemas.openxmlformats.org/drawingml/2006/picture">
                <pic:pic>
                  <pic:nvPicPr>
                    <pic:cNvPr id="0" name="04_api_latency.png"/>
                    <pic:cNvPicPr/>
                  </pic:nvPicPr>
                  <pic:blipFill>
                    <a:blip r:embed="rId13"/>
                    <a:stretch>
                      <a:fillRect/>
                    </a:stretch>
                  </pic:blipFill>
                  <pic:spPr>
                    <a:xfrm>
                      <a:off x="0" y="0"/>
                      <a:ext cx="5623560" cy="3560357"/>
                    </a:xfrm>
                    <a:prstGeom prst="rect"/>
                  </pic:spPr>
                </pic:pic>
              </a:graphicData>
            </a:graphic>
          </wp:inline>
        </w:drawing>
      </w:r>
    </w:p>
    <w:p>
      <w:pPr>
        <w:pStyle w:val="Caption"/>
        <w:jc w:val="center"/>
      </w:pPr>
      <w:r>
        <w:t>Figure 3. Mean local API latency.</w:t>
      </w:r>
    </w:p>
    <w:p>
      <w:pPr>
        <w:jc w:val="both"/>
      </w:pPr>
      <w:r>
        <w:t>All 150 measured read requests returned HTTP 200. Mean endpoint times ranged from 3.985 ms for /api/auth/me to 14.231 ms for department load. One WebSocket connection completed in 46.657 ms. These are local sequential measurements and not a capacity claim.</w:t>
      </w:r>
    </w:p>
    <w:p>
      <w:pPr>
        <w:jc w:val="both"/>
      </w:pPr>
      <w:r>
        <w:t>Frontend lint exited zero with 14 warnings. The production build exited zero after 3,573 modules and 1.73 seconds, with warnings for two JavaScript chunks larger than 500 kB.</w:t>
      </w:r>
    </w:p>
    <w:p>
      <w:r>
        <w:br w:type="page"/>
      </w:r>
    </w:p>
    <w:p>
      <w:pPr>
        <w:pStyle w:val="Heading2"/>
      </w:pPr>
      <w:r>
        <w:t>Public waiting board</w:t>
      </w:r>
    </w:p>
    <w:p>
      <w:pPr>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03_waiting_board.png"/>
                    <pic:cNvPicPr/>
                  </pic:nvPicPr>
                  <pic:blipFill>
                    <a:blip r:embed="rId14"/>
                    <a:stretch>
                      <a:fillRect/>
                    </a:stretch>
                  </pic:blipFill>
                  <pic:spPr>
                    <a:xfrm>
                      <a:off x="0" y="0"/>
                      <a:ext cx="5623560" cy="3514725"/>
                    </a:xfrm>
                    <a:prstGeom prst="rect"/>
                  </pic:spPr>
                </pic:pic>
              </a:graphicData>
            </a:graphic>
          </wp:inline>
        </w:drawing>
      </w:r>
    </w:p>
    <w:p>
      <w:pPr>
        <w:pStyle w:val="Caption"/>
        <w:jc w:val="center"/>
      </w:pPr>
      <w:r>
        <w:t>Figure 4. Public waiting board</w:t>
      </w:r>
    </w:p>
    <w:p>
      <w:pPr>
        <w:jc w:val="both"/>
      </w:pPr>
      <w:r>
        <w:t>Live department cards show now-serving tokens, waiting counts, upcoming tokens and mean predicted waits.</w:t>
      </w:r>
    </w:p>
    <w:p>
      <w:r>
        <w:br w:type="page"/>
      </w:r>
    </w:p>
    <w:p>
      <w:pPr>
        <w:pStyle w:val="Heading2"/>
      </w:pPr>
      <w:r>
        <w:t>Administrator command centre</w:t>
      </w:r>
    </w:p>
    <w:p>
      <w:pPr>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04_admin_dashboard.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Figure 5. Administrator command centre</w:t>
      </w:r>
    </w:p>
    <w:p>
      <w:pPr>
        <w:jc w:val="both"/>
      </w:pPr>
      <w:r>
        <w:t>The demonstration snapshot shows 23 patients today, 18 active visits, 11.1-minute predicted wait, two active critical cases and capacity.</w:t>
      </w:r>
    </w:p>
    <w:p>
      <w:r>
        <w:br w:type="page"/>
      </w:r>
    </w:p>
    <w:p>
      <w:pPr>
        <w:pStyle w:val="Heading2"/>
      </w:pPr>
      <w:r>
        <w:t>Reception dashboard</w:t>
      </w:r>
    </w:p>
    <w:p>
      <w:pPr>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05_reception_dashboard.png"/>
                    <pic:cNvPicPr/>
                  </pic:nvPicPr>
                  <pic:blipFill>
                    <a:blip r:embed="rId16"/>
                    <a:stretch>
                      <a:fillRect/>
                    </a:stretch>
                  </pic:blipFill>
                  <pic:spPr>
                    <a:xfrm>
                      <a:off x="0" y="0"/>
                      <a:ext cx="5623560" cy="3514725"/>
                    </a:xfrm>
                    <a:prstGeom prst="rect"/>
                  </pic:spPr>
                </pic:pic>
              </a:graphicData>
            </a:graphic>
          </wp:inline>
        </w:drawing>
      </w:r>
    </w:p>
    <w:p>
      <w:pPr>
        <w:pStyle w:val="Caption"/>
        <w:jc w:val="center"/>
      </w:pPr>
      <w:r>
        <w:t>Figure 6. Reception dashboard</w:t>
      </w:r>
    </w:p>
    <w:p>
      <w:pPr>
        <w:jc w:val="both"/>
      </w:pPr>
      <w:r>
        <w:t>Token, patient, complaint, priority, state and registration time are visible in one table.</w:t>
      </w:r>
    </w:p>
    <w:p>
      <w:r>
        <w:br w:type="page"/>
      </w:r>
    </w:p>
    <w:p>
      <w:pPr>
        <w:pStyle w:val="Heading2"/>
      </w:pPr>
      <w:r>
        <w:t>Registration and triage input</w:t>
      </w:r>
    </w:p>
    <w:p>
      <w:pPr>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06_patient_registration.png"/>
                    <pic:cNvPicPr/>
                  </pic:nvPicPr>
                  <pic:blipFill>
                    <a:blip r:embed="rId17"/>
                    <a:stretch>
                      <a:fillRect/>
                    </a:stretch>
                  </pic:blipFill>
                  <pic:spPr>
                    <a:xfrm>
                      <a:off x="0" y="0"/>
                      <a:ext cx="5623560" cy="3514725"/>
                    </a:xfrm>
                    <a:prstGeom prst="rect"/>
                  </pic:spPr>
                </pic:pic>
              </a:graphicData>
            </a:graphic>
          </wp:inline>
        </w:drawing>
      </w:r>
    </w:p>
    <w:p>
      <w:pPr>
        <w:pStyle w:val="Caption"/>
        <w:jc w:val="center"/>
      </w:pPr>
      <w:r>
        <w:t>Figure 7. Registration and triage input</w:t>
      </w:r>
    </w:p>
    <w:p>
      <w:pPr>
        <w:jc w:val="both"/>
      </w:pPr>
      <w:r>
        <w:t>The real form accepts patient identity, department, complaint and optional vitals.</w:t>
      </w:r>
    </w:p>
    <w:p>
      <w:r>
        <w:br w:type="page"/>
      </w:r>
    </w:p>
    <w:p>
      <w:pPr>
        <w:pStyle w:val="Heading2"/>
      </w:pPr>
      <w:r>
        <w:t>Doctor dashboard</w:t>
      </w:r>
    </w:p>
    <w:p>
      <w:pPr>
        <w:jc w:val="center"/>
      </w:pPr>
      <w:r>
        <w:drawing>
          <wp:inline xmlns:a="http://schemas.openxmlformats.org/drawingml/2006/main" xmlns:pic="http://schemas.openxmlformats.org/drawingml/2006/picture">
            <wp:extent cx="5623560" cy="3514725"/>
            <wp:docPr id="8" name="Picture 8"/>
            <wp:cNvGraphicFramePr>
              <a:graphicFrameLocks noChangeAspect="1"/>
            </wp:cNvGraphicFramePr>
            <a:graphic>
              <a:graphicData uri="http://schemas.openxmlformats.org/drawingml/2006/picture">
                <pic:pic>
                  <pic:nvPicPr>
                    <pic:cNvPr id="0" name="07_doctor_dashboard.png"/>
                    <pic:cNvPicPr/>
                  </pic:nvPicPr>
                  <pic:blipFill>
                    <a:blip r:embed="rId18"/>
                    <a:stretch>
                      <a:fillRect/>
                    </a:stretch>
                  </pic:blipFill>
                  <pic:spPr>
                    <a:xfrm>
                      <a:off x="0" y="0"/>
                      <a:ext cx="5623560" cy="3514725"/>
                    </a:xfrm>
                    <a:prstGeom prst="rect"/>
                  </pic:spPr>
                </pic:pic>
              </a:graphicData>
            </a:graphic>
          </wp:inline>
        </w:drawing>
      </w:r>
    </w:p>
    <w:p>
      <w:pPr>
        <w:pStyle w:val="Caption"/>
        <w:jc w:val="center"/>
      </w:pPr>
      <w:r>
        <w:t>Figure 8. Doctor dashboard</w:t>
      </w:r>
    </w:p>
    <w:p>
      <w:pPr>
        <w:jc w:val="both"/>
      </w:pPr>
      <w:r>
        <w:t>Waiting and assigned patients are separated while retaining priority and predicted wait.</w:t>
      </w:r>
    </w:p>
    <w:p>
      <w:r>
        <w:br w:type="page"/>
      </w:r>
    </w:p>
    <w:p>
      <w:pPr>
        <w:pStyle w:val="Heading2"/>
      </w:pPr>
      <w:r>
        <w:t>Visit detail</w:t>
      </w:r>
    </w:p>
    <w:p>
      <w:pPr>
        <w:jc w:val="center"/>
      </w:pPr>
      <w:r>
        <w:drawing>
          <wp:inline xmlns:a="http://schemas.openxmlformats.org/drawingml/2006/main" xmlns:pic="http://schemas.openxmlformats.org/drawingml/2006/picture">
            <wp:extent cx="5623560" cy="3514725"/>
            <wp:docPr id="9" name="Picture 9"/>
            <wp:cNvGraphicFramePr>
              <a:graphicFrameLocks noChangeAspect="1"/>
            </wp:cNvGraphicFramePr>
            <a:graphic>
              <a:graphicData uri="http://schemas.openxmlformats.org/drawingml/2006/picture">
                <pic:pic>
                  <pic:nvPicPr>
                    <pic:cNvPr id="0" name="08_patient_detail.png"/>
                    <pic:cNvPicPr/>
                  </pic:nvPicPr>
                  <pic:blipFill>
                    <a:blip r:embed="rId19"/>
                    <a:stretch>
                      <a:fillRect/>
                    </a:stretch>
                  </pic:blipFill>
                  <pic:spPr>
                    <a:xfrm>
                      <a:off x="0" y="0"/>
                      <a:ext cx="5623560" cy="3514725"/>
                    </a:xfrm>
                    <a:prstGeom prst="rect"/>
                  </pic:spPr>
                </pic:pic>
              </a:graphicData>
            </a:graphic>
          </wp:inline>
        </w:drawing>
      </w:r>
    </w:p>
    <w:p>
      <w:pPr>
        <w:pStyle w:val="Caption"/>
        <w:jc w:val="center"/>
      </w:pPr>
      <w:r>
        <w:t>Figure 9. Visit detail</w:t>
      </w:r>
    </w:p>
    <w:p>
      <w:pPr>
        <w:jc w:val="both"/>
      </w:pPr>
      <w:r>
        <w:t>Vitals, complaint, priority, wait and movement history support the consultation decision.</w:t>
      </w:r>
    </w:p>
    <w:p>
      <w:r>
        <w:br w:type="page"/>
      </w:r>
    </w:p>
    <w:p>
      <w:pPr>
        <w:pStyle w:val="Heading2"/>
      </w:pPr>
      <w:r>
        <w:t>Laboratory order modal</w:t>
      </w:r>
    </w:p>
    <w:p>
      <w:pPr>
        <w:jc w:val="center"/>
      </w:pPr>
      <w:r>
        <w:drawing>
          <wp:inline xmlns:a="http://schemas.openxmlformats.org/drawingml/2006/main" xmlns:pic="http://schemas.openxmlformats.org/drawingml/2006/picture">
            <wp:extent cx="5623560" cy="3514725"/>
            <wp:docPr id="10" name="Picture 10"/>
            <wp:cNvGraphicFramePr>
              <a:graphicFrameLocks noChangeAspect="1"/>
            </wp:cNvGraphicFramePr>
            <a:graphic>
              <a:graphicData uri="http://schemas.openxmlformats.org/drawingml/2006/picture">
                <pic:pic>
                  <pic:nvPicPr>
                    <pic:cNvPr id="0" name="09_order_lab_test.png"/>
                    <pic:cNvPicPr/>
                  </pic:nvPicPr>
                  <pic:blipFill>
                    <a:blip r:embed="rId20"/>
                    <a:stretch>
                      <a:fillRect/>
                    </a:stretch>
                  </pic:blipFill>
                  <pic:spPr>
                    <a:xfrm>
                      <a:off x="0" y="0"/>
                      <a:ext cx="5623560" cy="3514725"/>
                    </a:xfrm>
                    <a:prstGeom prst="rect"/>
                  </pic:spPr>
                </pic:pic>
              </a:graphicData>
            </a:graphic>
          </wp:inline>
        </w:drawing>
      </w:r>
    </w:p>
    <w:p>
      <w:pPr>
        <w:pStyle w:val="Caption"/>
        <w:jc w:val="center"/>
      </w:pPr>
      <w:r>
        <w:t>Figure 10. Laboratory order modal</w:t>
      </w:r>
    </w:p>
    <w:p>
      <w:pPr>
        <w:jc w:val="both"/>
      </w:pPr>
      <w:r>
        <w:t>Doctors may enter a named test or choose a frequent test.</w:t>
      </w:r>
    </w:p>
    <w:p>
      <w:r>
        <w:br w:type="page"/>
      </w:r>
    </w:p>
    <w:p>
      <w:pPr>
        <w:pStyle w:val="Heading2"/>
      </w:pPr>
      <w:r>
        <w:t>Bed admission modal</w:t>
      </w:r>
    </w:p>
    <w:p>
      <w:pPr>
        <w:jc w:val="center"/>
      </w:pPr>
      <w:r>
        <w:drawing>
          <wp:inline xmlns:a="http://schemas.openxmlformats.org/drawingml/2006/main" xmlns:pic="http://schemas.openxmlformats.org/drawingml/2006/picture">
            <wp:extent cx="5623560" cy="3514725"/>
            <wp:docPr id="11" name="Picture 11"/>
            <wp:cNvGraphicFramePr>
              <a:graphicFrameLocks noChangeAspect="1"/>
            </wp:cNvGraphicFramePr>
            <a:graphic>
              <a:graphicData uri="http://schemas.openxmlformats.org/drawingml/2006/picture">
                <pic:pic>
                  <pic:nvPicPr>
                    <pic:cNvPr id="0" name="10_admit_patient.png"/>
                    <pic:cNvPicPr/>
                  </pic:nvPicPr>
                  <pic:blipFill>
                    <a:blip r:embed="rId21"/>
                    <a:stretch>
                      <a:fillRect/>
                    </a:stretch>
                  </pic:blipFill>
                  <pic:spPr>
                    <a:xfrm>
                      <a:off x="0" y="0"/>
                      <a:ext cx="5623560" cy="3514725"/>
                    </a:xfrm>
                    <a:prstGeom prst="rect"/>
                  </pic:spPr>
                </pic:pic>
              </a:graphicData>
            </a:graphic>
          </wp:inline>
        </w:drawing>
      </w:r>
    </w:p>
    <w:p>
      <w:pPr>
        <w:pStyle w:val="Caption"/>
        <w:jc w:val="center"/>
      </w:pPr>
      <w:r>
        <w:t>Figure 11. Bed admission modal</w:t>
      </w:r>
    </w:p>
    <w:p>
      <w:pPr>
        <w:jc w:val="both"/>
      </w:pPr>
      <w:r>
        <w:t>Occupied beds are disabled and available ward or ICU beds are selectable.</w:t>
      </w:r>
    </w:p>
    <w:p>
      <w:r>
        <w:br w:type="page"/>
      </w:r>
    </w:p>
    <w:p>
      <w:pPr>
        <w:pStyle w:val="Heading2"/>
      </w:pPr>
      <w:r>
        <w:t>General Ward bed board</w:t>
      </w:r>
    </w:p>
    <w:p>
      <w:pPr>
        <w:jc w:val="center"/>
      </w:pPr>
      <w:r>
        <w:drawing>
          <wp:inline xmlns:a="http://schemas.openxmlformats.org/drawingml/2006/main" xmlns:pic="http://schemas.openxmlformats.org/drawingml/2006/picture">
            <wp:extent cx="5623560" cy="3514725"/>
            <wp:docPr id="12" name="Picture 12"/>
            <wp:cNvGraphicFramePr>
              <a:graphicFrameLocks noChangeAspect="1"/>
            </wp:cNvGraphicFramePr>
            <a:graphic>
              <a:graphicData uri="http://schemas.openxmlformats.org/drawingml/2006/picture">
                <pic:pic>
                  <pic:nvPicPr>
                    <pic:cNvPr id="0" name="11_nurse_bed_board.png"/>
                    <pic:cNvPicPr/>
                  </pic:nvPicPr>
                  <pic:blipFill>
                    <a:blip r:embed="rId22"/>
                    <a:stretch>
                      <a:fillRect/>
                    </a:stretch>
                  </pic:blipFill>
                  <pic:spPr>
                    <a:xfrm>
                      <a:off x="0" y="0"/>
                      <a:ext cx="5623560" cy="3514725"/>
                    </a:xfrm>
                    <a:prstGeom prst="rect"/>
                  </pic:spPr>
                </pic:pic>
              </a:graphicData>
            </a:graphic>
          </wp:inline>
        </w:drawing>
      </w:r>
    </w:p>
    <w:p>
      <w:pPr>
        <w:pStyle w:val="Caption"/>
        <w:jc w:val="center"/>
      </w:pPr>
      <w:r>
        <w:t>Figure 12. General Ward bed board</w:t>
      </w:r>
    </w:p>
    <w:p>
      <w:pPr>
        <w:jc w:val="both"/>
      </w:pPr>
      <w:r>
        <w:t>The synthetic snapshot contains 12 ward beds: seven occupied and five available.</w:t>
      </w:r>
    </w:p>
    <w:p>
      <w:r>
        <w:br w:type="page"/>
      </w:r>
    </w:p>
    <w:p>
      <w:pPr>
        <w:pStyle w:val="Heading2"/>
      </w:pPr>
      <w:r>
        <w:t>ICU bed board</w:t>
      </w:r>
    </w:p>
    <w:p>
      <w:pPr>
        <w:jc w:val="center"/>
      </w:pPr>
      <w:r>
        <w:drawing>
          <wp:inline xmlns:a="http://schemas.openxmlformats.org/drawingml/2006/main" xmlns:pic="http://schemas.openxmlformats.org/drawingml/2006/picture">
            <wp:extent cx="5623560" cy="3514725"/>
            <wp:docPr id="13" name="Picture 13"/>
            <wp:cNvGraphicFramePr>
              <a:graphicFrameLocks noChangeAspect="1"/>
            </wp:cNvGraphicFramePr>
            <a:graphic>
              <a:graphicData uri="http://schemas.openxmlformats.org/drawingml/2006/picture">
                <pic:pic>
                  <pic:nvPicPr>
                    <pic:cNvPr id="0" name="12_icu_bed_board.png"/>
                    <pic:cNvPicPr/>
                  </pic:nvPicPr>
                  <pic:blipFill>
                    <a:blip r:embed="rId23"/>
                    <a:stretch>
                      <a:fillRect/>
                    </a:stretch>
                  </pic:blipFill>
                  <pic:spPr>
                    <a:xfrm>
                      <a:off x="0" y="0"/>
                      <a:ext cx="5623560" cy="3514725"/>
                    </a:xfrm>
                    <a:prstGeom prst="rect"/>
                  </pic:spPr>
                </pic:pic>
              </a:graphicData>
            </a:graphic>
          </wp:inline>
        </w:drawing>
      </w:r>
    </w:p>
    <w:p>
      <w:pPr>
        <w:pStyle w:val="Caption"/>
        <w:jc w:val="center"/>
      </w:pPr>
      <w:r>
        <w:t>Figure 13. ICU bed board</w:t>
      </w:r>
    </w:p>
    <w:p>
      <w:pPr>
        <w:jc w:val="both"/>
      </w:pPr>
      <w:r>
        <w:t>The synthetic snapshot contains six ICU beds: four occupied and two available.</w:t>
      </w:r>
    </w:p>
    <w:p>
      <w:r>
        <w:br w:type="page"/>
      </w:r>
    </w:p>
    <w:p>
      <w:pPr>
        <w:pStyle w:val="Heading2"/>
      </w:pPr>
      <w:r>
        <w:t>Laboratory workflow</w:t>
      </w:r>
    </w:p>
    <w:p>
      <w:pPr>
        <w:jc w:val="center"/>
      </w:pPr>
      <w:r>
        <w:drawing>
          <wp:inline xmlns:a="http://schemas.openxmlformats.org/drawingml/2006/main" xmlns:pic="http://schemas.openxmlformats.org/drawingml/2006/picture">
            <wp:extent cx="5623560" cy="3514725"/>
            <wp:docPr id="14" name="Picture 14"/>
            <wp:cNvGraphicFramePr>
              <a:graphicFrameLocks noChangeAspect="1"/>
            </wp:cNvGraphicFramePr>
            <a:graphic>
              <a:graphicData uri="http://schemas.openxmlformats.org/drawingml/2006/picture">
                <pic:pic>
                  <pic:nvPicPr>
                    <pic:cNvPr id="0" name="13_laboratory_dashboard.png"/>
                    <pic:cNvPicPr/>
                  </pic:nvPicPr>
                  <pic:blipFill>
                    <a:blip r:embed="rId24"/>
                    <a:stretch>
                      <a:fillRect/>
                    </a:stretch>
                  </pic:blipFill>
                  <pic:spPr>
                    <a:xfrm>
                      <a:off x="0" y="0"/>
                      <a:ext cx="5623560" cy="3514725"/>
                    </a:xfrm>
                    <a:prstGeom prst="rect"/>
                  </pic:spPr>
                </pic:pic>
              </a:graphicData>
            </a:graphic>
          </wp:inline>
        </w:drawing>
      </w:r>
    </w:p>
    <w:p>
      <w:pPr>
        <w:pStyle w:val="Caption"/>
        <w:jc w:val="center"/>
      </w:pPr>
      <w:r>
        <w:t>Figure 14. Laboratory workflow</w:t>
      </w:r>
    </w:p>
    <w:p>
      <w:pPr>
        <w:jc w:val="both"/>
      </w:pPr>
      <w:r>
        <w:t>Five tests appear across scheduled and in-progress columns with valid actions.</w:t>
      </w:r>
    </w:p>
    <w:p>
      <w:r>
        <w:br w:type="page"/>
      </w:r>
    </w:p>
    <w:p>
      <w:pPr>
        <w:pStyle w:val="Heading2"/>
      </w:pPr>
      <w:r>
        <w:t>16. Objectives versus Outcomes</w:t>
      </w:r>
    </w:p>
    <w:p>
      <w:pPr>
        <w:pStyle w:val="Caption"/>
        <w:jc w:val="center"/>
      </w:pPr>
      <w:r>
        <w:t>Table 2. Objectives and outcomes.</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val="clear" w:fill="1F4E78"/>
          </w:tcPr>
          <w:p>
            <w:r>
              <w:rPr>
                <w:b/>
                <w:color w:val="FFFFFF"/>
                <w:sz w:val="18"/>
              </w:rPr>
              <w:t>Objective</w:t>
            </w:r>
          </w:p>
        </w:tc>
        <w:tc>
          <w:tcPr>
            <w:tcW w:type="dxa" w:w="3202"/>
            <w:shd w:val="clear" w:fill="1F4E78"/>
          </w:tcPr>
          <w:p>
            <w:r>
              <w:rPr>
                <w:b/>
                <w:color w:val="FFFFFF"/>
                <w:sz w:val="18"/>
              </w:rPr>
              <w:t>Outcome</w:t>
            </w:r>
          </w:p>
        </w:tc>
        <w:tc>
          <w:tcPr>
            <w:tcW w:type="dxa" w:w="3202"/>
            <w:shd w:val="clear" w:fill="1F4E78"/>
          </w:tcPr>
          <w:p>
            <w:r>
              <w:rPr>
                <w:b/>
                <w:color w:val="FFFFFF"/>
                <w:sz w:val="18"/>
              </w:rPr>
              <w:t>Evidence</w:t>
            </w:r>
          </w:p>
        </w:tc>
      </w:tr>
      <w:tr>
        <w:tc>
          <w:tcPr>
            <w:tcW w:type="dxa" w:w="3202"/>
            <w:vAlign w:val="center"/>
          </w:tcPr>
          <w:p>
            <w:pPr>
              <w:spacing w:line="240" w:lineRule="auto" w:after="40"/>
            </w:pPr>
            <w:r>
              <w:rPr>
                <w:sz w:val="18"/>
              </w:rPr>
              <w:t>Digital tokens</w:t>
            </w:r>
          </w:p>
        </w:tc>
        <w:tc>
          <w:tcPr>
            <w:tcW w:type="dxa" w:w="3202"/>
            <w:vAlign w:val="center"/>
          </w:tcPr>
          <w:p>
            <w:pPr>
              <w:spacing w:line="240" w:lineRule="auto" w:after="40"/>
            </w:pPr>
            <w:r>
              <w:rPr>
                <w:sz w:val="18"/>
              </w:rPr>
              <w:t>Achieved</w:t>
            </w:r>
          </w:p>
        </w:tc>
        <w:tc>
          <w:tcPr>
            <w:tcW w:type="dxa" w:w="3202"/>
            <w:vAlign w:val="center"/>
          </w:tcPr>
          <w:p>
            <w:pPr>
              <w:spacing w:line="240" w:lineRule="auto" w:after="40"/>
            </w:pPr>
            <w:r>
              <w:rPr>
                <w:sz w:val="18"/>
              </w:rPr>
              <w:t>Token allocation and queue board</w:t>
            </w:r>
          </w:p>
        </w:tc>
      </w:tr>
      <w:tr>
        <w:tc>
          <w:tcPr>
            <w:tcW w:type="dxa" w:w="3202"/>
            <w:vAlign w:val="center"/>
          </w:tcPr>
          <w:p>
            <w:pPr>
              <w:spacing w:line="240" w:lineRule="auto" w:after="40"/>
            </w:pPr>
            <w:r>
              <w:rPr>
                <w:sz w:val="18"/>
              </w:rPr>
              <w:t>Movement tracking</w:t>
            </w:r>
          </w:p>
        </w:tc>
        <w:tc>
          <w:tcPr>
            <w:tcW w:type="dxa" w:w="3202"/>
            <w:vAlign w:val="center"/>
          </w:tcPr>
          <w:p>
            <w:pPr>
              <w:spacing w:line="240" w:lineRule="auto" w:after="40"/>
            </w:pPr>
            <w:r>
              <w:rPr>
                <w:sz w:val="18"/>
              </w:rPr>
              <w:t>Partially achieved</w:t>
            </w:r>
          </w:p>
        </w:tc>
        <w:tc>
          <w:tcPr>
            <w:tcW w:type="dxa" w:w="3202"/>
            <w:vAlign w:val="center"/>
          </w:tcPr>
          <w:p>
            <w:pPr>
              <w:spacing w:line="240" w:lineRule="auto" w:after="40"/>
            </w:pPr>
            <w:r>
              <w:rPr>
                <w:sz w:val="18"/>
              </w:rPr>
              <w:t>Registration and explicit department changes logged</w:t>
            </w:r>
          </w:p>
        </w:tc>
      </w:tr>
      <w:tr>
        <w:tc>
          <w:tcPr>
            <w:tcW w:type="dxa" w:w="3202"/>
            <w:vAlign w:val="center"/>
          </w:tcPr>
          <w:p>
            <w:pPr>
              <w:spacing w:line="240" w:lineRule="auto" w:after="40"/>
            </w:pPr>
            <w:r>
              <w:rPr>
                <w:sz w:val="18"/>
              </w:rPr>
              <w:t>Lab scheduling</w:t>
            </w:r>
          </w:p>
        </w:tc>
        <w:tc>
          <w:tcPr>
            <w:tcW w:type="dxa" w:w="3202"/>
            <w:vAlign w:val="center"/>
          </w:tcPr>
          <w:p>
            <w:pPr>
              <w:spacing w:line="240" w:lineRule="auto" w:after="40"/>
            </w:pPr>
            <w:r>
              <w:rPr>
                <w:sz w:val="18"/>
              </w:rPr>
              <w:t>Achieved as workflow state</w:t>
            </w:r>
          </w:p>
        </w:tc>
        <w:tc>
          <w:tcPr>
            <w:tcW w:type="dxa" w:w="3202"/>
            <w:vAlign w:val="center"/>
          </w:tcPr>
          <w:p>
            <w:pPr>
              <w:spacing w:line="240" w:lineRule="auto" w:after="40"/>
            </w:pPr>
            <w:r>
              <w:rPr>
                <w:sz w:val="18"/>
              </w:rPr>
              <w:t>Five populated tests; no optimisation study</w:t>
            </w:r>
          </w:p>
        </w:tc>
      </w:tr>
      <w:tr>
        <w:tc>
          <w:tcPr>
            <w:tcW w:type="dxa" w:w="3202"/>
            <w:vAlign w:val="center"/>
          </w:tcPr>
          <w:p>
            <w:pPr>
              <w:spacing w:line="240" w:lineRule="auto" w:after="40"/>
            </w:pPr>
            <w:r>
              <w:rPr>
                <w:sz w:val="18"/>
              </w:rPr>
              <w:t>Live bed/ICU monitoring</w:t>
            </w:r>
          </w:p>
        </w:tc>
        <w:tc>
          <w:tcPr>
            <w:tcW w:type="dxa" w:w="3202"/>
            <w:vAlign w:val="center"/>
          </w:tcPr>
          <w:p>
            <w:pPr>
              <w:spacing w:line="240" w:lineRule="auto" w:after="40"/>
            </w:pPr>
            <w:r>
              <w:rPr>
                <w:sz w:val="18"/>
              </w:rPr>
              <w:t>Achieved for state visibility</w:t>
            </w:r>
          </w:p>
        </w:tc>
        <w:tc>
          <w:tcPr>
            <w:tcW w:type="dxa" w:w="3202"/>
            <w:vAlign w:val="center"/>
          </w:tcPr>
          <w:p>
            <w:pPr>
              <w:spacing w:line="240" w:lineRule="auto" w:after="40"/>
            </w:pPr>
            <w:r>
              <w:rPr>
                <w:sz w:val="18"/>
              </w:rPr>
              <w:t>Ward and ICU boards</w:t>
            </w:r>
          </w:p>
        </w:tc>
      </w:tr>
      <w:tr>
        <w:tc>
          <w:tcPr>
            <w:tcW w:type="dxa" w:w="3202"/>
            <w:vAlign w:val="center"/>
          </w:tcPr>
          <w:p>
            <w:pPr>
              <w:spacing w:line="240" w:lineRule="auto" w:after="40"/>
            </w:pPr>
            <w:r>
              <w:rPr>
                <w:sz w:val="18"/>
              </w:rPr>
              <w:t>AI wait and priority</w:t>
            </w:r>
          </w:p>
        </w:tc>
        <w:tc>
          <w:tcPr>
            <w:tcW w:type="dxa" w:w="3202"/>
            <w:vAlign w:val="center"/>
          </w:tcPr>
          <w:p>
            <w:pPr>
              <w:spacing w:line="240" w:lineRule="auto" w:after="40"/>
            </w:pPr>
            <w:r>
              <w:rPr>
                <w:sz w:val="18"/>
              </w:rPr>
              <w:t>Prototype achieved</w:t>
            </w:r>
          </w:p>
        </w:tc>
        <w:tc>
          <w:tcPr>
            <w:tcW w:type="dxa" w:w="3202"/>
            <w:vAlign w:val="center"/>
          </w:tcPr>
          <w:p>
            <w:pPr>
              <w:spacing w:line="240" w:lineRule="auto" w:after="40"/>
            </w:pPr>
            <w:r>
              <w:rPr>
                <w:sz w:val="18"/>
              </w:rPr>
              <w:t>Measured synthetic-model results</w:t>
            </w:r>
          </w:p>
        </w:tc>
      </w:tr>
      <w:tr>
        <w:tc>
          <w:tcPr>
            <w:tcW w:type="dxa" w:w="3202"/>
            <w:vAlign w:val="center"/>
          </w:tcPr>
          <w:p>
            <w:pPr>
              <w:spacing w:line="240" w:lineRule="auto" w:after="40"/>
            </w:pPr>
            <w:r>
              <w:rPr>
                <w:sz w:val="18"/>
              </w:rPr>
              <w:t>Role dashboards</w:t>
            </w:r>
          </w:p>
        </w:tc>
        <w:tc>
          <w:tcPr>
            <w:tcW w:type="dxa" w:w="3202"/>
            <w:vAlign w:val="center"/>
          </w:tcPr>
          <w:p>
            <w:pPr>
              <w:spacing w:line="240" w:lineRule="auto" w:after="40"/>
            </w:pPr>
            <w:r>
              <w:rPr>
                <w:sz w:val="18"/>
              </w:rPr>
              <w:t>Achieved</w:t>
            </w:r>
          </w:p>
        </w:tc>
        <w:tc>
          <w:tcPr>
            <w:tcW w:type="dxa" w:w="3202"/>
            <w:vAlign w:val="center"/>
          </w:tcPr>
          <w:p>
            <w:pPr>
              <w:spacing w:line="240" w:lineRule="auto" w:after="40"/>
            </w:pPr>
            <w:r>
              <w:rPr>
                <w:sz w:val="18"/>
              </w:rPr>
              <w:t>Five staff roles plus public board</w:t>
            </w:r>
          </w:p>
        </w:tc>
      </w:tr>
    </w:tbl>
    <w:p>
      <w:r>
        <w:br w:type="page"/>
      </w:r>
    </w:p>
    <w:p>
      <w:pPr>
        <w:pStyle w:val="Heading2"/>
      </w:pPr>
      <w:r>
        <w:t>17. Success and Failure Cases</w:t>
      </w:r>
    </w:p>
    <w:p>
      <w:pPr>
        <w:jc w:val="both"/>
      </w:pPr>
      <w:r>
        <w:t>Successful cases include authenticated access, priority-first queue ordering, coherent token display, model inference, laboratory-state display, bed-capacity display and live dashboard refresh. The measured endpoints all returned HTTP 200 under the defined smoke conditions.</w:t>
      </w:r>
    </w:p>
    <w:p>
      <w:pPr>
        <w:jc w:val="both"/>
      </w:pPr>
      <w:r>
        <w:t>Observed limits include 37 critical-to-urgent triage errors in the synthetic test, the nurse page requiring an initial tab click, incomplete coupling between laboratory and visit states, seeded occupied beds without visit links, large frontend chunks and absence of automated tests. No unsupported wait-reduction claim is made.</w:t>
      </w:r>
    </w:p>
    <w:p>
      <w:r>
        <w:br w:type="page"/>
      </w:r>
    </w:p>
    <w:p>
      <w:pPr>
        <w:pStyle w:val="Heading2"/>
      </w:pPr>
      <w:r>
        <w:t>18. Results Limitations</w:t>
      </w:r>
    </w:p>
    <w:p>
      <w:pPr>
        <w:jc w:val="both"/>
      </w:pPr>
      <w:r>
        <w:t>Both model datasets are synthetic and generated from designed distributions; they are not real patient records.</w:t>
      </w:r>
    </w:p>
    <w:p>
      <w:pPr>
        <w:jc w:val="both"/>
      </w:pPr>
      <w:r>
        <w:t>The measured model test partitions come from the same deterministic generators as training and are not independent clinical validation.</w:t>
      </w:r>
    </w:p>
    <w:p>
      <w:pPr>
        <w:jc w:val="both"/>
      </w:pPr>
      <w:r>
        <w:t>No real hospital deployment, clinician study, user-acceptance study, security audit, accessibility audit, or concurrent-load test was performed.</w:t>
      </w:r>
    </w:p>
    <w:p>
      <w:pPr>
        <w:jc w:val="both"/>
      </w:pPr>
      <w:r>
        <w:t>The 96.80% triage accuracy must be interpreted with the 63% critical-class recall; accuracy alone overstates safety-critical performance.</w:t>
      </w:r>
    </w:p>
    <w:p>
      <w:pPr>
        <w:jc w:val="both"/>
      </w:pPr>
      <w:r>
        <w:t>SQLite, a development JWT secret fallback, an unauthenticated WebSocket, and in-process broadcasting are unsuitable for production without hardening.</w:t>
      </w:r>
    </w:p>
    <w:p>
      <w:pPr>
        <w:jc w:val="both"/>
      </w:pPr>
      <w:r>
        <w:t>The landing-page claims of 42% wait reduction, 214 patients, and six departments are hard-coded marketing copy and are excluded from results.</w:t>
      </w:r>
    </w:p>
    <w:sectPr w:rsidR="00FC693F" w:rsidRPr="0006063C" w:rsidSect="00034616">
      <w:headerReference w:type="default" r:id="rId9"/>
      <w:footerReference w:type="default" r:id="rId10"/>
      <w:pgSz w:w="11909" w:h="16834"/>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 Powered Intelligent Hospital Patient Flow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14.RESULTS</dc:subject>
  <dc:creator>A. RAMU; B. RUSHI; B. RAJ KUMAR; A. PRABHAS</dc:creator>
  <cp:keywords/>
  <dc:description>generated by python-docx</dc:description>
  <cp:lastModifiedBy/>
  <cp:revision>1</cp:revision>
  <dcterms:created xsi:type="dcterms:W3CDTF">2013-12-23T23:15:00Z</dcterms:created>
  <dcterms:modified xsi:type="dcterms:W3CDTF">2013-12-23T23:15:00Z</dcterms:modified>
  <cp:category/>
</cp:coreProperties>
</file>