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651C" w:rsidRDefault="001D44B5">
      <w:pPr>
        <w:spacing w:line="276" w:lineRule="auto"/>
        <w:jc w:val="center"/>
      </w:pPr>
      <w:bookmarkStart w:id="0" w:name="_GoBack"/>
      <w:bookmarkEnd w:id="0"/>
      <w:r>
        <w:rPr>
          <w:b/>
          <w:sz w:val="26"/>
        </w:rPr>
        <w:t>Department of Computer Science and Engineering (Data Science)</w:t>
      </w:r>
    </w:p>
    <w:p w:rsidR="00BB651C" w:rsidRDefault="001D44B5">
      <w:pPr>
        <w:spacing w:after="120" w:line="276" w:lineRule="auto"/>
        <w:jc w:val="center"/>
      </w:pPr>
      <w:r>
        <w:rPr>
          <w:sz w:val="22"/>
        </w:rPr>
        <w:t>CSDS-A   |   Batch A6 (CSE - Data Science, Section A)</w:t>
      </w:r>
    </w:p>
    <w:p w:rsidR="00BB651C" w:rsidRDefault="001D44B5">
      <w:pPr>
        <w:spacing w:line="288" w:lineRule="auto"/>
        <w:jc w:val="center"/>
      </w:pPr>
      <w:r>
        <w:rPr>
          <w:b/>
          <w:sz w:val="32"/>
        </w:rPr>
        <w:t>ClauseGuard: Legal Contract Complexity and Predatory Clause Detector</w:t>
      </w:r>
    </w:p>
    <w:p w:rsidR="00BB651C" w:rsidRDefault="001D44B5">
      <w:pPr>
        <w:spacing w:after="160" w:line="276" w:lineRule="auto"/>
        <w:jc w:val="center"/>
      </w:pPr>
      <w:r>
        <w:rPr>
          <w:i/>
        </w:rPr>
        <w:t>(ClauseGuard)</w:t>
      </w:r>
    </w:p>
    <w:tbl>
      <w:tblPr>
        <w:tblStyle w:val="TableGrid"/>
        <w:tblW w:w="0" w:type="auto"/>
        <w:jc w:val="center"/>
        <w:tblLook w:val="04A0" w:firstRow="1" w:lastRow="0" w:firstColumn="1" w:lastColumn="0" w:noHBand="0" w:noVBand="1"/>
      </w:tblPr>
      <w:tblGrid>
        <w:gridCol w:w="1118"/>
        <w:gridCol w:w="4286"/>
        <w:gridCol w:w="3913"/>
      </w:tblGrid>
      <w:tr w:rsidR="00BB651C">
        <w:trPr>
          <w:jc w:val="center"/>
        </w:trPr>
        <w:tc>
          <w:tcPr>
            <w:tcW w:w="1118" w:type="dxa"/>
            <w:shd w:val="clear" w:color="auto" w:fill="D9E2F3"/>
          </w:tcPr>
          <w:p w:rsidR="00BB651C" w:rsidRDefault="001D44B5">
            <w:pPr>
              <w:spacing w:line="276" w:lineRule="auto"/>
              <w:jc w:val="left"/>
            </w:pPr>
            <w:r>
              <w:rPr>
                <w:b/>
                <w:sz w:val="21"/>
              </w:rPr>
              <w:t>S.No.</w:t>
            </w:r>
          </w:p>
        </w:tc>
        <w:tc>
          <w:tcPr>
            <w:tcW w:w="4286" w:type="dxa"/>
            <w:shd w:val="clear" w:color="auto" w:fill="D9E2F3"/>
          </w:tcPr>
          <w:p w:rsidR="00BB651C" w:rsidRDefault="001D44B5">
            <w:pPr>
              <w:spacing w:line="276" w:lineRule="auto"/>
              <w:jc w:val="left"/>
            </w:pPr>
            <w:r>
              <w:rPr>
                <w:b/>
                <w:sz w:val="21"/>
              </w:rPr>
              <w:t>Student name</w:t>
            </w:r>
          </w:p>
        </w:tc>
        <w:tc>
          <w:tcPr>
            <w:tcW w:w="3913" w:type="dxa"/>
            <w:shd w:val="clear" w:color="auto" w:fill="D9E2F3"/>
          </w:tcPr>
          <w:p w:rsidR="00BB651C" w:rsidRDefault="001D44B5">
            <w:pPr>
              <w:spacing w:line="276" w:lineRule="auto"/>
              <w:jc w:val="left"/>
            </w:pPr>
            <w:r>
              <w:rPr>
                <w:b/>
                <w:sz w:val="21"/>
              </w:rPr>
              <w:t>Roll / hall ticket no.</w:t>
            </w:r>
          </w:p>
        </w:tc>
      </w:tr>
      <w:tr w:rsidR="00BB651C">
        <w:trPr>
          <w:jc w:val="center"/>
        </w:trPr>
        <w:tc>
          <w:tcPr>
            <w:tcW w:w="1118" w:type="dxa"/>
          </w:tcPr>
          <w:p w:rsidR="00BB651C" w:rsidRDefault="001D44B5">
            <w:pPr>
              <w:spacing w:line="276" w:lineRule="auto"/>
              <w:jc w:val="left"/>
            </w:pPr>
            <w:r>
              <w:rPr>
                <w:sz w:val="21"/>
              </w:rPr>
              <w:t>1</w:t>
            </w:r>
          </w:p>
        </w:tc>
        <w:tc>
          <w:tcPr>
            <w:tcW w:w="4286" w:type="dxa"/>
          </w:tcPr>
          <w:p w:rsidR="00BB651C" w:rsidRDefault="001D44B5">
            <w:pPr>
              <w:spacing w:line="276" w:lineRule="auto"/>
              <w:jc w:val="left"/>
            </w:pPr>
            <w:r>
              <w:rPr>
                <w:sz w:val="21"/>
              </w:rPr>
              <w:t>CH.PRANATHI</w:t>
            </w:r>
          </w:p>
        </w:tc>
        <w:tc>
          <w:tcPr>
            <w:tcW w:w="3913" w:type="dxa"/>
          </w:tcPr>
          <w:p w:rsidR="00BB651C" w:rsidRDefault="001D44B5">
            <w:pPr>
              <w:spacing w:line="276" w:lineRule="auto"/>
              <w:jc w:val="left"/>
            </w:pPr>
            <w:r>
              <w:rPr>
                <w:sz w:val="21"/>
              </w:rPr>
              <w:t>23K91A6744</w:t>
            </w:r>
          </w:p>
        </w:tc>
      </w:tr>
      <w:tr w:rsidR="00BB651C">
        <w:trPr>
          <w:jc w:val="center"/>
        </w:trPr>
        <w:tc>
          <w:tcPr>
            <w:tcW w:w="1118" w:type="dxa"/>
          </w:tcPr>
          <w:p w:rsidR="00BB651C" w:rsidRDefault="001D44B5">
            <w:pPr>
              <w:spacing w:line="276" w:lineRule="auto"/>
              <w:jc w:val="left"/>
            </w:pPr>
            <w:r>
              <w:rPr>
                <w:sz w:val="21"/>
              </w:rPr>
              <w:t>2</w:t>
            </w:r>
          </w:p>
        </w:tc>
        <w:tc>
          <w:tcPr>
            <w:tcW w:w="4286" w:type="dxa"/>
          </w:tcPr>
          <w:p w:rsidR="00BB651C" w:rsidRDefault="001D44B5">
            <w:pPr>
              <w:spacing w:line="276" w:lineRule="auto"/>
              <w:jc w:val="left"/>
            </w:pPr>
            <w:r>
              <w:rPr>
                <w:sz w:val="21"/>
              </w:rPr>
              <w:t>G.PRANAVI</w:t>
            </w:r>
          </w:p>
        </w:tc>
        <w:tc>
          <w:tcPr>
            <w:tcW w:w="3913" w:type="dxa"/>
          </w:tcPr>
          <w:p w:rsidR="00BB651C" w:rsidRDefault="001D44B5">
            <w:pPr>
              <w:spacing w:line="276" w:lineRule="auto"/>
              <w:jc w:val="left"/>
            </w:pPr>
            <w:r>
              <w:rPr>
                <w:sz w:val="21"/>
              </w:rPr>
              <w:t>23K91A6762</w:t>
            </w:r>
          </w:p>
        </w:tc>
      </w:tr>
      <w:tr w:rsidR="00BB651C">
        <w:trPr>
          <w:jc w:val="center"/>
        </w:trPr>
        <w:tc>
          <w:tcPr>
            <w:tcW w:w="1118" w:type="dxa"/>
          </w:tcPr>
          <w:p w:rsidR="00BB651C" w:rsidRDefault="001D44B5">
            <w:pPr>
              <w:spacing w:line="276" w:lineRule="auto"/>
              <w:jc w:val="left"/>
            </w:pPr>
            <w:r>
              <w:rPr>
                <w:sz w:val="21"/>
              </w:rPr>
              <w:t>3</w:t>
            </w:r>
          </w:p>
        </w:tc>
        <w:tc>
          <w:tcPr>
            <w:tcW w:w="4286" w:type="dxa"/>
          </w:tcPr>
          <w:p w:rsidR="00BB651C" w:rsidRDefault="001D44B5">
            <w:pPr>
              <w:spacing w:line="276" w:lineRule="auto"/>
              <w:jc w:val="left"/>
            </w:pPr>
            <w:r>
              <w:rPr>
                <w:sz w:val="21"/>
              </w:rPr>
              <w:t>G.CHARAN JOSEPH</w:t>
            </w:r>
          </w:p>
        </w:tc>
        <w:tc>
          <w:tcPr>
            <w:tcW w:w="3913" w:type="dxa"/>
          </w:tcPr>
          <w:p w:rsidR="00BB651C" w:rsidRDefault="001D44B5">
            <w:pPr>
              <w:spacing w:line="276" w:lineRule="auto"/>
              <w:jc w:val="left"/>
            </w:pPr>
            <w:r>
              <w:rPr>
                <w:sz w:val="21"/>
              </w:rPr>
              <w:t>23K91A6753</w:t>
            </w:r>
          </w:p>
        </w:tc>
      </w:tr>
      <w:tr w:rsidR="00BB651C">
        <w:trPr>
          <w:jc w:val="center"/>
        </w:trPr>
        <w:tc>
          <w:tcPr>
            <w:tcW w:w="1118" w:type="dxa"/>
          </w:tcPr>
          <w:p w:rsidR="00BB651C" w:rsidRDefault="001D44B5">
            <w:pPr>
              <w:spacing w:line="276" w:lineRule="auto"/>
              <w:jc w:val="left"/>
            </w:pPr>
            <w:r>
              <w:rPr>
                <w:sz w:val="21"/>
              </w:rPr>
              <w:t>4</w:t>
            </w:r>
          </w:p>
        </w:tc>
        <w:tc>
          <w:tcPr>
            <w:tcW w:w="4286" w:type="dxa"/>
          </w:tcPr>
          <w:p w:rsidR="00BB651C" w:rsidRDefault="001D44B5">
            <w:pPr>
              <w:spacing w:line="276" w:lineRule="auto"/>
              <w:jc w:val="left"/>
            </w:pPr>
            <w:r>
              <w:rPr>
                <w:sz w:val="21"/>
              </w:rPr>
              <w:t>G.BHAGWATH</w:t>
            </w:r>
          </w:p>
        </w:tc>
        <w:tc>
          <w:tcPr>
            <w:tcW w:w="3913" w:type="dxa"/>
          </w:tcPr>
          <w:p w:rsidR="00BB651C" w:rsidRDefault="001D44B5">
            <w:pPr>
              <w:spacing w:line="276" w:lineRule="auto"/>
              <w:jc w:val="left"/>
            </w:pPr>
            <w:r>
              <w:rPr>
                <w:sz w:val="21"/>
              </w:rPr>
              <w:t>23K91A6760</w:t>
            </w:r>
          </w:p>
        </w:tc>
      </w:tr>
    </w:tbl>
    <w:p w:rsidR="00BB651C" w:rsidRDefault="001D44B5">
      <w:pPr>
        <w:spacing w:after="120" w:line="312" w:lineRule="auto"/>
        <w:jc w:val="center"/>
      </w:pPr>
      <w:r>
        <w:rPr>
          <w:sz w:val="22"/>
        </w:rPr>
        <w:t>Under the guidance of: [GUIDE NAME], [DESIGNATION]</w:t>
      </w:r>
    </w:p>
    <w:p w:rsidR="00BB651C" w:rsidRDefault="001D44B5">
      <w:pPr>
        <w:spacing w:before="120" w:after="200" w:line="288" w:lineRule="auto"/>
        <w:jc w:val="center"/>
      </w:pPr>
      <w:r>
        <w:rPr>
          <w:b/>
          <w:sz w:val="30"/>
        </w:rPr>
        <w:t>CONCLUSION, FUTURE SCOPE AND REFERENCES</w:t>
      </w:r>
    </w:p>
    <w:p w:rsidR="00BB651C" w:rsidRDefault="001D44B5">
      <w:r>
        <w:t>This document concludes the project: what was achieved, the key findings,</w:t>
      </w:r>
      <w:r>
        <w:t xml:space="preserve"> the known limitations, concrete future work, and the numbered list of references.</w:t>
      </w:r>
    </w:p>
    <w:p w:rsidR="00BB651C" w:rsidRDefault="001D44B5">
      <w:pPr>
        <w:pStyle w:val="Heading2"/>
      </w:pPr>
      <w:r>
        <w:t>1  Summary of the Work</w:t>
      </w:r>
    </w:p>
    <w:p w:rsidR="00BB651C" w:rsidRDefault="001D44B5">
      <w:r>
        <w:t>This project built ClauseGuard, a full-stack tool that reads an Indian-style contract in PDF or DOCX, splits it into clauses with page numbers, assign</w:t>
      </w:r>
      <w:r>
        <w:t>s each clause one of 20 CUAD clause types with Gemini embeddings and a nearest-centroid search, flags eight kinds of predatory clause with Indian-law rules, finds three risky combinations of clauses, scores the complexity of the wording as a grade from A t</w:t>
      </w:r>
      <w:r>
        <w:t xml:space="preserve">o F, and has Gemini explain each flag in plain language with the quoted provision and a safer wording. A React web application shows the report, the clause detail, a clause graph, the user's contracts and an evaluation page; a FastAPI backend with SQLite, </w:t>
      </w:r>
      <w:r>
        <w:t>JWT and bcrypt serves it through nine endpoints; and a pytest suite of 73 cases (68 passing, 5 documenting known gaps) checks the code without calling Gemini.</w:t>
      </w:r>
    </w:p>
    <w:p w:rsidR="00BB651C" w:rsidRDefault="001D44B5">
      <w:r>
        <w:t>The two measurable parts were evaluated separately. On 240 held-out CUAD spans the classifier rea</w:t>
      </w:r>
      <w:r>
        <w:t xml:space="preserve">ches top-1 accuracy 0.792 and top-3 accuracy 0.979, well above TF-IDF baselines (0.621 and 0.675). The rule engine scores precision 1.00 and recall 0.941 on the 40 clauses that shipped with it, but only precision 0.786 and recall 0.458 on 40 independently </w:t>
      </w:r>
      <w:r>
        <w:t>phrased clauses, so its real recall is closer to one half. The non-API pipeline processed all 510 CUAD contracts in 28.49 s. Three real uploads through the browser behaved as designed: the one-sided contract produced 8 flags and 3 combinations, the fair co</w:t>
      </w:r>
      <w:r>
        <w:t>ntract none, and a real supply agreement one.</w:t>
      </w:r>
    </w:p>
    <w:p w:rsidR="00BB651C" w:rsidRDefault="001D44B5">
      <w:r>
        <w:t xml:space="preserve">The build differs from the batch abstract: it uses Gemini instead of the Claude API, SQLite and NumPy instead of pgvector, and an in-memory NetworkX graph instead of Neo4j, and it has no </w:t>
      </w:r>
      <w:r>
        <w:lastRenderedPageBreak/>
        <w:t xml:space="preserve">retrieval from a legal </w:t>
      </w:r>
      <w:r>
        <w:t>corpus. These differences, and the limits found by testing, are stated in this report rather than hidden.</w:t>
      </w:r>
    </w:p>
    <w:p w:rsidR="00BB651C" w:rsidRDefault="001D44B5">
      <w:pPr>
        <w:pStyle w:val="Heading2"/>
      </w:pPr>
      <w:r>
        <w:t>2  Objectives Achieved</w:t>
      </w:r>
    </w:p>
    <w:p w:rsidR="00BB651C" w:rsidRDefault="001D44B5">
      <w:r>
        <w:t xml:space="preserve">Of the six objectives, three are achieved as stated or nearly so, one in a limited form and two only in part. Segmenting </w:t>
      </w:r>
      <w:r>
        <w:t>contracts and classifying clauses (objective 1) works with limits, because the segmenter recognises only some heading styles and the classifier must give every clause one of 20 labels. The complexity score and the plain-language summary (objective 5) and t</w:t>
      </w:r>
      <w:r>
        <w:t>he separate evaluation of classification and detection (objective 6) are in place. Flagging predatory clauses and combinations under Indian law (objective 4) is implemented as eight rules and three combinations, with the recall limits above. The RAG pipeli</w:t>
      </w:r>
      <w:r>
        <w:t>ne with the Claude API and pgvector (objective 2) and the Neo4j knowledge graph of concepts and precedents (objective 3) were not built as stated: Gemini replaces Claude, there is no retrieval over a legal corpus, vectors are SQLite blobs, and the graph is</w:t>
      </w:r>
      <w:r>
        <w:t xml:space="preserve"> a per-contract NetworkX graph without concepts or precedents. Chapter 8 gives the evidence for each.</w:t>
      </w:r>
    </w:p>
    <w:p w:rsidR="00BB651C" w:rsidRDefault="001D44B5">
      <w:pPr>
        <w:pStyle w:val="Heading2"/>
      </w:pPr>
      <w:r>
        <w:t>3  Key Findings</w:t>
      </w:r>
    </w:p>
    <w:p w:rsidR="00BB651C" w:rsidRDefault="001D44B5">
      <w:pPr>
        <w:tabs>
          <w:tab w:val="left" w:pos="576"/>
        </w:tabs>
        <w:ind w:left="576" w:hanging="432"/>
      </w:pPr>
      <w:r>
        <w:t>1.</w:t>
      </w:r>
      <w:r>
        <w:tab/>
      </w:r>
      <w:r>
        <w:rPr>
          <w:b/>
        </w:rPr>
        <w:t>A high score on a test set written with the rules is not evidence of generalisation.</w:t>
      </w:r>
      <w:r>
        <w:t xml:space="preserve"> Precision 1.00 and recall 0.941 on the shipped 40 </w:t>
      </w:r>
      <w:r>
        <w:t>clauses become 0.786 and 0.458 on 40 independently phrased clauses; the rules miss 13 of 24 paraphrases and flag three fair clauses.</w:t>
      </w:r>
    </w:p>
    <w:p w:rsidR="00BB651C" w:rsidRDefault="001D44B5">
      <w:pPr>
        <w:tabs>
          <w:tab w:val="left" w:pos="576"/>
        </w:tabs>
        <w:ind w:left="576" w:hanging="432"/>
      </w:pPr>
      <w:r>
        <w:t>2.</w:t>
      </w:r>
      <w:r>
        <w:tab/>
      </w:r>
      <w:r>
        <w:rPr>
          <w:b/>
        </w:rPr>
        <w:t>Dense embeddings classify clause topics well.</w:t>
      </w:r>
      <w:r>
        <w:t xml:space="preserve"> Top-1 0.792 and top-3 0.979 on 240 CUAD spans, against 0.621 and 0.675 for</w:t>
      </w:r>
      <w:r>
        <w:t xml:space="preserve"> TF-IDF baselines; the score is 0.800 when training spans from the same contract are removed, so the span-level split did not inflate it.</w:t>
      </w:r>
    </w:p>
    <w:p w:rsidR="00BB651C" w:rsidRDefault="001D44B5">
      <w:pPr>
        <w:tabs>
          <w:tab w:val="left" w:pos="576"/>
        </w:tabs>
        <w:ind w:left="576" w:hanging="432"/>
      </w:pPr>
      <w:r>
        <w:t>3.</w:t>
      </w:r>
      <w:r>
        <w:tab/>
      </w:r>
      <w:r>
        <w:rPr>
          <w:b/>
        </w:rPr>
        <w:t>The classifier's safeguards never act.</w:t>
      </w:r>
      <w:r>
        <w:t xml:space="preserve"> Top-1 similarities lie between 0.657 and 0.849, so the tie-break (needs belo</w:t>
      </w:r>
      <w:r>
        <w:t>w 0.60) and the 'Other / Unclassified' floor (below 0.35) are dead code and every clause gets one of 20 labels; on whole clauses of real contracts only about half of the labels are plausible (19 clauses read).</w:t>
      </w:r>
    </w:p>
    <w:p w:rsidR="00BB651C" w:rsidRDefault="001D44B5">
      <w:pPr>
        <w:tabs>
          <w:tab w:val="left" w:pos="576"/>
        </w:tabs>
        <w:ind w:left="576" w:hanging="432"/>
      </w:pPr>
      <w:r>
        <w:t>4.</w:t>
      </w:r>
      <w:r>
        <w:tab/>
      </w:r>
      <w:r>
        <w:rPr>
          <w:b/>
        </w:rPr>
        <w:t>The input format changes the verdict.</w:t>
      </w:r>
      <w:r>
        <w:t xml:space="preserve"> The s</w:t>
      </w:r>
      <w:r>
        <w:t xml:space="preserve">ame contract text gives 8 of 8 rules as DOCX and 6 of 8 as PDF, because the rules use </w:t>
      </w:r>
      <w:r>
        <w:rPr>
          <w:rFonts w:ascii="Courier New" w:eastAsia="Courier New" w:hAnsi="Courier New" w:cs="Courier New"/>
          <w:sz w:val="21"/>
        </w:rPr>
        <w:t>.{0,N}</w:t>
      </w:r>
      <w:r>
        <w:t xml:space="preserve"> across line breaks; text before the first heading is discarded and 84 of 510 CUAD contracts yield fewer than five clauses.</w:t>
      </w:r>
    </w:p>
    <w:p w:rsidR="00BB651C" w:rsidRDefault="001D44B5">
      <w:pPr>
        <w:tabs>
          <w:tab w:val="left" w:pos="576"/>
        </w:tabs>
        <w:ind w:left="576" w:hanging="432"/>
      </w:pPr>
      <w:r>
        <w:t>5.</w:t>
      </w:r>
      <w:r>
        <w:tab/>
      </w:r>
      <w:r>
        <w:rPr>
          <w:b/>
        </w:rPr>
        <w:t>Complexity is not fairness.</w:t>
      </w:r>
      <w:r>
        <w:t xml:space="preserve"> The one-s</w:t>
      </w:r>
      <w:r>
        <w:t>ided freelance contract is grade B (23.3) and the fair one grade A (13.7); real CUAD contracts are mostly B or C (437 of 510).</w:t>
      </w:r>
    </w:p>
    <w:p w:rsidR="00BB651C" w:rsidRDefault="001D44B5">
      <w:pPr>
        <w:tabs>
          <w:tab w:val="left" w:pos="576"/>
        </w:tabs>
        <w:ind w:left="576" w:hanging="432"/>
      </w:pPr>
      <w:r>
        <w:lastRenderedPageBreak/>
        <w:t>6.</w:t>
      </w:r>
      <w:r>
        <w:tab/>
      </w:r>
      <w:r>
        <w:rPr>
          <w:b/>
        </w:rPr>
        <w:t>The local pipeline is cheap; the language model is the cost.</w:t>
      </w:r>
      <w:r>
        <w:t xml:space="preserve"> 56 ms per contract for segmentation, rules and scoring, against 1</w:t>
      </w:r>
      <w:r>
        <w:t>5.5 s to 113.6 s per upload because each flag needs a Gemini call, and a free-tier quota of 20 text requests a day per model.</w:t>
      </w:r>
    </w:p>
    <w:p w:rsidR="00BB651C" w:rsidRDefault="001D44B5">
      <w:pPr>
        <w:tabs>
          <w:tab w:val="left" w:pos="576"/>
        </w:tabs>
        <w:ind w:left="576" w:hanging="432"/>
      </w:pPr>
      <w:r>
        <w:t>7.</w:t>
      </w:r>
      <w:r>
        <w:tab/>
      </w:r>
      <w:r>
        <w:rPr>
          <w:b/>
        </w:rPr>
        <w:t>Generated text is plausible but unverified.</w:t>
      </w:r>
      <w:r>
        <w:t xml:space="preserve"> Reasons and quoted provisions were faithful in the examples read, but the safer wording of the non-compete still restrains the consultant for six months, the Fusion reason overstates the absence of a reciprocal right, and every report is framed as Indian </w:t>
      </w:r>
      <w:r>
        <w:t>law whatever the contract's jurisdiction.</w:t>
      </w:r>
    </w:p>
    <w:p w:rsidR="00BB651C" w:rsidRDefault="001D44B5">
      <w:pPr>
        <w:tabs>
          <w:tab w:val="left" w:pos="576"/>
        </w:tabs>
        <w:ind w:left="576" w:hanging="432"/>
      </w:pPr>
      <w:r>
        <w:t>8.</w:t>
      </w:r>
      <w:r>
        <w:tab/>
      </w:r>
      <w:r>
        <w:rPr>
          <w:b/>
        </w:rPr>
        <w:t>The build is lighter than the abstract.</w:t>
      </w:r>
      <w:r>
        <w:t xml:space="preserve"> Gemini, SQLite with NumPy and NetworkX replace Claude, pgvector and Neo4j; the project states this openly.</w:t>
      </w:r>
    </w:p>
    <w:p w:rsidR="00BB651C" w:rsidRDefault="001D44B5">
      <w:pPr>
        <w:keepNext/>
        <w:spacing w:before="120" w:line="240" w:lineRule="auto"/>
        <w:jc w:val="center"/>
      </w:pPr>
      <w:r>
        <w:rPr>
          <w:noProof/>
        </w:rPr>
        <w:drawing>
          <wp:inline distT="0" distB="0" distL="0" distR="0">
            <wp:extent cx="4023360" cy="27469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ules_two_test_sets.png"/>
                    <pic:cNvPicPr/>
                  </pic:nvPicPr>
                  <pic:blipFill>
                    <a:blip r:embed="rId8"/>
                    <a:stretch>
                      <a:fillRect/>
                    </a:stretch>
                  </pic:blipFill>
                  <pic:spPr>
                    <a:xfrm>
                      <a:off x="0" y="0"/>
                      <a:ext cx="4023360" cy="2746984"/>
                    </a:xfrm>
                    <a:prstGeom prst="rect">
                      <a:avLst/>
                    </a:prstGeom>
                  </pic:spPr>
                </pic:pic>
              </a:graphicData>
            </a:graphic>
          </wp:inline>
        </w:drawing>
      </w:r>
    </w:p>
    <w:p w:rsidR="00BB651C" w:rsidRDefault="001D44B5">
      <w:pPr>
        <w:pStyle w:val="FigureCaption"/>
      </w:pPr>
      <w:r>
        <w:t xml:space="preserve">Fig. 1: Predatory-clause rules scored on the shipped test set </w:t>
      </w:r>
      <w:r>
        <w:t>and on the independent probe set</w:t>
      </w:r>
    </w:p>
    <w:p w:rsidR="00BB651C" w:rsidRDefault="001D44B5">
      <w:pPr>
        <w:pStyle w:val="Heading2"/>
      </w:pPr>
      <w:r>
        <w:t>4  Practical Applications</w:t>
      </w:r>
    </w:p>
    <w:p w:rsidR="00BB651C" w:rsidRDefault="001D44B5">
      <w:r>
        <w:t>In its present form ClauseGuard is a working prototype and a teaching platform for contract review, not a legal service; its output is information and not legal advice. With the improvements of Cha</w:t>
      </w:r>
      <w:r>
        <w:t>pter 10, the same structure could support four uses: a first-pass reading of a freelance, consulting or small-business contract that lists the clauses worth a second look and explains them in plain language; a checklist for a lawyer reviewing a batch of co</w:t>
      </w:r>
      <w:r>
        <w:t>ntracts, using the page-linked flags to save time; a teaching aid that shows how Section 27, Section 74 and similar provisions bear on common clauses; and a benchmark harness for comparing rule-based, embedding-based and language-model detectors on the sam</w:t>
      </w:r>
      <w:r>
        <w:t>e clause sets.</w:t>
      </w:r>
    </w:p>
    <w:p w:rsidR="00BB651C" w:rsidRDefault="001D44B5">
      <w:pPr>
        <w:pStyle w:val="Heading2"/>
      </w:pPr>
      <w:r>
        <w:t>5  Known Limitations</w:t>
      </w:r>
    </w:p>
    <w:p w:rsidR="00BB651C" w:rsidRDefault="001D44B5">
      <w:pPr>
        <w:pStyle w:val="ListBullet"/>
      </w:pPr>
      <w:r>
        <w:t>The rule engine is eight regular expressions: recall on independently phrased clauses is 0.458 and fair clauses are sometimes flagged; combinations are matched on rule ids anywhere in the contract.</w:t>
      </w:r>
    </w:p>
    <w:p w:rsidR="00BB651C" w:rsidRDefault="001D44B5">
      <w:pPr>
        <w:pStyle w:val="ListBullet"/>
      </w:pPr>
      <w:r>
        <w:lastRenderedPageBreak/>
        <w:t>The test sets are smal</w:t>
      </w:r>
      <w:r>
        <w:t>l, written by project members and not labelled by lawyers; no Indian contract corpus was used, because none was available (CUAD contains US filings).</w:t>
      </w:r>
    </w:p>
    <w:p w:rsidR="00BB651C" w:rsidRDefault="001D44B5">
      <w:pPr>
        <w:pStyle w:val="ListBullet"/>
      </w:pPr>
      <w:r>
        <w:t>Input handling: PDF line breaks defeat some rules, text before the first heading is dropped, only some hea</w:t>
      </w:r>
      <w:r>
        <w:t>ding styles split clauses, clauses crossing a page are cut, DOCX has no page numbers, and scanned PDFs cannot be read.</w:t>
      </w:r>
    </w:p>
    <w:p w:rsidR="00BB651C" w:rsidRDefault="001D44B5">
      <w:pPr>
        <w:pStyle w:val="ListBullet"/>
      </w:pPr>
      <w:r>
        <w:t>Classification forces 20 labels, its fallback branches never act, and it was trained on spans rather than whole clauses.</w:t>
      </w:r>
    </w:p>
    <w:p w:rsidR="00BB651C" w:rsidRDefault="001D44B5">
      <w:pPr>
        <w:pStyle w:val="ListBullet"/>
      </w:pPr>
      <w:r>
        <w:t>The complexity s</w:t>
      </w:r>
      <w:r>
        <w:t>core is lexical and unvalidated; the generated explanations and summaries are not verified by a lawyer and carry an Indian-law framing for every contract.</w:t>
      </w:r>
    </w:p>
    <w:p w:rsidR="00BB651C" w:rsidRDefault="001D44B5">
      <w:pPr>
        <w:pStyle w:val="ListBullet"/>
      </w:pPr>
      <w:r>
        <w:t xml:space="preserve">Dependence on Gemini: free-tier quota, 12 s or more per call, a 180 s browser timeout, contract text </w:t>
      </w:r>
      <w:r>
        <w:t>sent to an external service, and no partial result when an upload fails.</w:t>
      </w:r>
    </w:p>
    <w:p w:rsidR="00BB651C" w:rsidRDefault="001D44B5">
      <w:pPr>
        <w:pStyle w:val="ListBullet"/>
      </w:pPr>
      <w:r>
        <w:t xml:space="preserve">Engineering: malformed Gemini JSON is reported as HTTP 400 instead of 502 (a </w:t>
      </w:r>
      <w:r>
        <w:rPr>
          <w:rFonts w:ascii="Courier New" w:eastAsia="Courier New" w:hAnsi="Courier New" w:cs="Courier New"/>
          <w:sz w:val="21"/>
        </w:rPr>
        <w:t>JSONDecodeError</w:t>
      </w:r>
      <w:r>
        <w:t xml:space="preserve"> is a </w:t>
      </w:r>
      <w:r>
        <w:rPr>
          <w:rFonts w:ascii="Courier New" w:eastAsia="Courier New" w:hAnsi="Courier New" w:cs="Courier New"/>
          <w:sz w:val="21"/>
        </w:rPr>
        <w:t>ValueError</w:t>
      </w:r>
      <w:r>
        <w:t>); CORS open to all origins, no rate limiting, a default JWT secret fallbac</w:t>
      </w:r>
      <w:r>
        <w:t xml:space="preserve">k, no browser tests and no load test; the shipped </w:t>
      </w:r>
      <w:r>
        <w:rPr>
          <w:rFonts w:ascii="Courier New" w:eastAsia="Courier New" w:hAnsi="Courier New" w:cs="Courier New"/>
          <w:sz w:val="21"/>
        </w:rPr>
        <w:t>.env.example</w:t>
      </w:r>
      <w:r>
        <w:t xml:space="preserve"> names retired Gemini models.</w:t>
      </w:r>
    </w:p>
    <w:p w:rsidR="00BB651C" w:rsidRDefault="001D44B5">
      <w:pPr>
        <w:pStyle w:val="Heading2"/>
      </w:pPr>
      <w:r>
        <w:t>6  Future Scope</w:t>
      </w:r>
    </w:p>
    <w:p w:rsidR="00BB651C" w:rsidRDefault="001D44B5">
      <w:r>
        <w:t>The items below follow from the limitations and from the gaps found in the literature survey.</w:t>
      </w:r>
    </w:p>
    <w:p w:rsidR="00BB651C" w:rsidRDefault="001D44B5">
      <w:pPr>
        <w:pStyle w:val="Heading2"/>
      </w:pPr>
      <w:r>
        <w:t>7  Improvements</w:t>
      </w:r>
    </w:p>
    <w:p w:rsidR="00BB651C" w:rsidRDefault="001D44B5">
      <w:pPr>
        <w:pStyle w:val="ListBullet"/>
      </w:pPr>
      <w:r>
        <w:rPr>
          <w:b/>
        </w:rPr>
        <w:t>Normalise the text before matching.</w:t>
      </w:r>
      <w:r>
        <w:t xml:space="preserve"> Collapse whitespace and line breaks before the rules run (8 of 8 rules on the PDF in the experiment), keep the preamble, recognise </w:t>
      </w:r>
      <w:r>
        <w:rPr>
          <w:rFonts w:ascii="Courier New" w:eastAsia="Courier New" w:hAnsi="Courier New" w:cs="Courier New"/>
          <w:sz w:val="21"/>
        </w:rPr>
        <w:t>Article I</w:t>
      </w:r>
      <w:r>
        <w:t>, roman-numeral and lettered headings, and merge clauses that run across a page.</w:t>
      </w:r>
    </w:p>
    <w:p w:rsidR="00BB651C" w:rsidRDefault="001D44B5">
      <w:pPr>
        <w:pStyle w:val="ListBullet"/>
      </w:pPr>
      <w:r>
        <w:rPr>
          <w:b/>
        </w:rPr>
        <w:t>Widen and test the rules.</w:t>
      </w:r>
      <w:r>
        <w:t xml:space="preserve"> Add the </w:t>
      </w:r>
      <w:r>
        <w:t>paraphrase families that the probe set exposed, replace key-word patterns by pattern-plus-context checks, and re-measure on a held-out set that no rule author has seen; keep the 40-clause set as a regression test and relabel it a development set on the Eva</w:t>
      </w:r>
      <w:r>
        <w:t>luation page.</w:t>
      </w:r>
    </w:p>
    <w:p w:rsidR="00BB651C" w:rsidRDefault="001D44B5">
      <w:pPr>
        <w:pStyle w:val="ListBullet"/>
      </w:pPr>
      <w:r>
        <w:rPr>
          <w:b/>
        </w:rPr>
        <w:t>Calibrate the classifier.</w:t>
      </w:r>
      <w:r>
        <w:t xml:space="preserve"> Set the tie-break and floor thresholds from the observed similarity distribution (the margin test alone would fire on 152 of 240 spans), add an explicit 'none of the 20' class trained on boilerplate clauses, and buil</w:t>
      </w:r>
      <w:r>
        <w:t>d the classification test from whole clauses with a contract-disjoint split.</w:t>
      </w:r>
    </w:p>
    <w:p w:rsidR="00BB651C" w:rsidRDefault="001D44B5">
      <w:pPr>
        <w:pStyle w:val="ListBullet"/>
      </w:pPr>
      <w:r>
        <w:rPr>
          <w:b/>
        </w:rPr>
        <w:t>Fix the engineering gaps:</w:t>
      </w:r>
      <w:r>
        <w:t xml:space="preserve"> a time budget or background job for long uploads with progress on the page, partial results when Gemini fails, a stricter CORS policy, rate limiting, a m</w:t>
      </w:r>
      <w:r>
        <w:t xml:space="preserve">andatory JWT secret and an updated </w:t>
      </w:r>
      <w:r>
        <w:rPr>
          <w:rFonts w:ascii="Courier New" w:eastAsia="Courier New" w:hAnsi="Courier New" w:cs="Courier New"/>
          <w:sz w:val="21"/>
        </w:rPr>
        <w:t>.env.example</w:t>
      </w:r>
      <w:r>
        <w:t xml:space="preserve"> with current model names.</w:t>
      </w:r>
    </w:p>
    <w:p w:rsidR="00BB651C" w:rsidRDefault="001D44B5">
      <w:pPr>
        <w:pStyle w:val="ListBullet"/>
      </w:pPr>
      <w:r>
        <w:rPr>
          <w:b/>
        </w:rPr>
        <w:lastRenderedPageBreak/>
        <w:t>Show uncertainty.</w:t>
      </w:r>
      <w:r>
        <w:t xml:space="preserve"> Display the classifier's confidence and a warning that labels are advisory, and mark flags that rest on a single pattern.</w:t>
      </w:r>
    </w:p>
    <w:p w:rsidR="00BB651C" w:rsidRDefault="001D44B5">
      <w:pPr>
        <w:pStyle w:val="Heading2"/>
      </w:pPr>
      <w:r>
        <w:t>8  Additional Features</w:t>
      </w:r>
    </w:p>
    <w:p w:rsidR="00BB651C" w:rsidRDefault="001D44B5">
      <w:pPr>
        <w:pStyle w:val="ListBullet"/>
      </w:pPr>
      <w:r>
        <w:t>Missing-clause dete</w:t>
      </w:r>
      <w:r>
        <w:t>ction against a checklist of essential clauses (payment, termination, liability, confidentiality, governing law, dispute resolution), as in the base paper [1], to complement the flags on clauses that are present.</w:t>
      </w:r>
    </w:p>
    <w:p w:rsidR="00BB651C" w:rsidRDefault="001D44B5">
      <w:pPr>
        <w:pStyle w:val="ListBullet"/>
      </w:pPr>
      <w:r>
        <w:t xml:space="preserve">A jurisdiction setting (India, other) that </w:t>
      </w:r>
      <w:r>
        <w:t>changes the rule set and the prompt, and detection of the governing-law clause so that a foreign contract is not read under Indian law.</w:t>
      </w:r>
    </w:p>
    <w:p w:rsidR="00BB651C" w:rsidRDefault="001D44B5">
      <w:pPr>
        <w:pStyle w:val="ListBullet"/>
      </w:pPr>
      <w:r>
        <w:t xml:space="preserve">Export of the report to PDF or DOCX with the flags and safer wording as tracked changes, and a side-by-side view of the </w:t>
      </w:r>
      <w:r>
        <w:t>original and the proposed clause.</w:t>
      </w:r>
    </w:p>
    <w:p w:rsidR="00BB651C" w:rsidRDefault="001D44B5">
      <w:pPr>
        <w:pStyle w:val="ListBullet"/>
      </w:pPr>
      <w:r>
        <w:t>A comparison of two versions of the same contract, and a library of vetted fair clauses to suggest in place of generated wording.</w:t>
      </w:r>
    </w:p>
    <w:p w:rsidR="00BB651C" w:rsidRDefault="001D44B5">
      <w:pPr>
        <w:pStyle w:val="ListBullet"/>
      </w:pPr>
      <w:r>
        <w:t>A question-and-answer panel over the uploaded contract using retrieval over its own clauses,</w:t>
      </w:r>
      <w:r>
        <w:t xml:space="preserve"> which would finally give the retrieval-augmented component that the abstract describes.</w:t>
      </w:r>
    </w:p>
    <w:p w:rsidR="00BB651C" w:rsidRDefault="001D44B5">
      <w:pPr>
        <w:pStyle w:val="ListBullet"/>
      </w:pPr>
      <w:r>
        <w:t>Support for Hindi and other Indian languages and for scanned contracts through optical character recognition.</w:t>
      </w:r>
    </w:p>
    <w:p w:rsidR="00BB651C" w:rsidRDefault="001D44B5">
      <w:pPr>
        <w:pStyle w:val="Heading2"/>
      </w:pPr>
      <w:r>
        <w:t>9  Scalability and Deployment</w:t>
      </w:r>
    </w:p>
    <w:p w:rsidR="00BB651C" w:rsidRDefault="001D44B5">
      <w:r>
        <w:t>The next step is a hosted d</w:t>
      </w:r>
      <w:r>
        <w:t>eployment: a managed database in place of SQLite, a background worker that analyses contracts asynchronously and streams progress to the page, a paid Gemini tier or a locally hosted open model so that quotas and confidentiality are under the operator's con</w:t>
      </w:r>
      <w:r>
        <w:t>trol, HTTPS, a secret key from the environment, rate limiting and structured logging. Batching the embedding and explanation calls would cut the upload time from minutes to seconds. pgvector or Neo4j should be introduced only if a feature needs them (cross</w:t>
      </w:r>
      <w:r>
        <w:t xml:space="preserve">-contract similarity search, or a graph of concepts and precedents); at the scale of one contract per request the current brute-force cosine and the NetworkX graph are sufficient. A continuous-integration run of the 73 test cases, a monitored distribution </w:t>
      </w:r>
      <w:r>
        <w:t>of classifier confidence, and a load test with concurrent users would turn the single-machine timings of this report into capacity figures.</w:t>
      </w:r>
    </w:p>
    <w:p w:rsidR="00BB651C" w:rsidRDefault="001D44B5">
      <w:pPr>
        <w:pStyle w:val="Heading2"/>
      </w:pPr>
      <w:r>
        <w:t>10  Further Research</w:t>
      </w:r>
    </w:p>
    <w:p w:rsidR="00BB651C" w:rsidRDefault="001D44B5">
      <w:pPr>
        <w:pStyle w:val="ListBullet"/>
      </w:pPr>
      <w:r>
        <w:rPr>
          <w:b/>
        </w:rPr>
        <w:t>An Indian contract corpus with lawyer labels.</w:t>
      </w:r>
      <w:r>
        <w:t xml:space="preserve"> Collect and annotate Indian freelance, employment</w:t>
      </w:r>
      <w:r>
        <w:t>, lease and service contracts for predatory terms under Sections 27, 73 and 74 of the Indian Contract Act and the Consumer Protection Act, with agreement between several lawyers, so that precision and recall can be reported on real, unseen data.</w:t>
      </w:r>
    </w:p>
    <w:p w:rsidR="00BB651C" w:rsidRDefault="001D44B5">
      <w:pPr>
        <w:pStyle w:val="ListBullet"/>
      </w:pPr>
      <w:r>
        <w:rPr>
          <w:b/>
        </w:rPr>
        <w:lastRenderedPageBreak/>
        <w:t>A whole-cl</w:t>
      </w:r>
      <w:r>
        <w:rPr>
          <w:b/>
        </w:rPr>
        <w:t>ause classification set with a contract-disjoint split</w:t>
      </w:r>
      <w:r>
        <w:t>, to measure what the product actually does rather than what CUAD spans suggest.</w:t>
      </w:r>
    </w:p>
    <w:p w:rsidR="00BB651C" w:rsidRDefault="001D44B5">
      <w:pPr>
        <w:pStyle w:val="ListBullet"/>
      </w:pPr>
      <w:r>
        <w:rPr>
          <w:b/>
        </w:rPr>
        <w:t>A hybrid detector.</w:t>
      </w:r>
      <w:r>
        <w:t xml:space="preserve"> Combine the rules (high precision, auditable) with a language-model judge or a fine-tuned small model [3], measure the gain on the probe-style paraphrases and the cost in time and money, and follow the evaluation design of ContractEval [2] (F2, Jaccard ov</w:t>
      </w:r>
      <w:r>
        <w:t>erlap, 'no related clause' rate).</w:t>
      </w:r>
    </w:p>
    <w:p w:rsidR="00BB651C" w:rsidRDefault="001D44B5">
      <w:pPr>
        <w:pStyle w:val="ListBullet"/>
      </w:pPr>
      <w:r>
        <w:rPr>
          <w:b/>
        </w:rPr>
        <w:t>Risk scoring validated against experts.</w:t>
      </w:r>
      <w:r>
        <w:t xml:space="preserve"> Learn or calibrate the weights of the complexity score and of a combined risk score from lawyer ratings, in the manner of the correlation study of [4].</w:t>
      </w:r>
    </w:p>
    <w:p w:rsidR="00BB651C" w:rsidRDefault="001D44B5">
      <w:pPr>
        <w:pStyle w:val="ListBullet"/>
      </w:pPr>
      <w:r>
        <w:rPr>
          <w:b/>
        </w:rPr>
        <w:t>Graph reasoning that is more t</w:t>
      </w:r>
      <w:r>
        <w:rPr>
          <w:b/>
        </w:rPr>
        <w:t>han three patterns:</w:t>
      </w:r>
      <w:r>
        <w:t xml:space="preserve"> a knowledge graph of clause types, legal concepts and precedents, with combination detection that respects the party affected and the distance between clauses.</w:t>
      </w:r>
    </w:p>
    <w:p w:rsidR="00BB651C" w:rsidRDefault="001D44B5">
      <w:pPr>
        <w:pStyle w:val="ListBullet"/>
      </w:pPr>
      <w:r>
        <w:rPr>
          <w:b/>
        </w:rPr>
        <w:t>Faithfulness of generated explanations.</w:t>
      </w:r>
      <w:r>
        <w:t xml:space="preserve"> Measure how often the quoted provisi</w:t>
      </w:r>
      <w:r>
        <w:t>on is a verbatim substring, how often the cited section is correct, and how often the safer wording introduces new obligations.</w:t>
      </w:r>
    </w:p>
    <w:p w:rsidR="00BB651C" w:rsidRDefault="001D44B5">
      <w:pPr>
        <w:pStyle w:val="Heading1"/>
        <w:pageBreakBefore/>
      </w:pPr>
      <w:r>
        <w:lastRenderedPageBreak/>
        <w:t>REFERENCES</w:t>
      </w:r>
    </w:p>
    <w:p w:rsidR="00BB651C" w:rsidRDefault="001D44B5">
      <w:pPr>
        <w:spacing w:after="80" w:line="288" w:lineRule="auto"/>
        <w:ind w:left="648" w:hanging="648"/>
        <w:jc w:val="left"/>
      </w:pPr>
      <w:r>
        <w:rPr>
          <w:sz w:val="22"/>
        </w:rPr>
        <w:t>[1]</w:t>
      </w:r>
      <w:r>
        <w:rPr>
          <w:sz w:val="22"/>
        </w:rPr>
        <w:tab/>
        <w:t>F. Almutairy, S. Almutairi, M. Abdullah, and S. Salman, "SmartLaw Advisor: AI-powered legal consultation and cont</w:t>
      </w:r>
      <w:r>
        <w:rPr>
          <w:sz w:val="22"/>
        </w:rPr>
        <w:t>ract analysis for Saudi Arabia," IEEE Access, vol. 14, pp. 32638 ff., 2026, doi: 10.1109/ACCESS.2026.3665420.</w:t>
      </w:r>
    </w:p>
    <w:p w:rsidR="00BB651C" w:rsidRDefault="001D44B5">
      <w:pPr>
        <w:spacing w:after="80" w:line="288" w:lineRule="auto"/>
        <w:ind w:left="648" w:hanging="648"/>
        <w:jc w:val="left"/>
      </w:pPr>
      <w:r>
        <w:rPr>
          <w:sz w:val="22"/>
        </w:rPr>
        <w:t>[2]</w:t>
      </w:r>
      <w:r>
        <w:rPr>
          <w:sz w:val="22"/>
        </w:rPr>
        <w:tab/>
        <w:t>S. Liu, Z. Li, R. Ma, H. Zhao, and M. Du, "ContractEval: Benchmarking LLMs for clause-level legal risk identification in commercial contracts,</w:t>
      </w:r>
      <w:r>
        <w:rPr>
          <w:sz w:val="22"/>
        </w:rPr>
        <w:t>" arXiv:2508.03080, Aug. 2025.</w:t>
      </w:r>
    </w:p>
    <w:p w:rsidR="00BB651C" w:rsidRDefault="001D44B5">
      <w:pPr>
        <w:spacing w:after="80" w:line="288" w:lineRule="auto"/>
        <w:ind w:left="648" w:hanging="648"/>
        <w:jc w:val="left"/>
      </w:pPr>
      <w:r>
        <w:rPr>
          <w:sz w:val="22"/>
        </w:rPr>
        <w:t>[3]</w:t>
      </w:r>
      <w:r>
        <w:rPr>
          <w:sz w:val="22"/>
        </w:rPr>
        <w:tab/>
        <w:t>N. Lincoln, N. Whitehouse, J. Mar, and R. Perera, "A few good clauses: Comparing LLMs vs domain-trained small language models on structured contract extraction," arXiv:2605.05532, May 2026.</w:t>
      </w:r>
    </w:p>
    <w:p w:rsidR="00BB651C" w:rsidRDefault="001D44B5">
      <w:pPr>
        <w:spacing w:after="80" w:line="288" w:lineRule="auto"/>
        <w:ind w:left="648" w:hanging="648"/>
        <w:jc w:val="left"/>
      </w:pPr>
      <w:r>
        <w:rPr>
          <w:sz w:val="22"/>
        </w:rPr>
        <w:t>[4]</w:t>
      </w:r>
      <w:r>
        <w:rPr>
          <w:sz w:val="22"/>
        </w:rPr>
        <w:tab/>
        <w:t xml:space="preserve">D. Charan R, S. Siddarth, </w:t>
      </w:r>
      <w:r>
        <w:rPr>
          <w:sz w:val="22"/>
        </w:rPr>
        <w:t>and M. Jeevitha, "Automated legal clause extraction and risk scoring using NLP and generative AI," Int. J. Res. Appl. Sci. Eng. Technol. (IJRASET), vol. 14, no. IV, Apr. 2026, doi: 10.22214/ijraset.2026.79369.</w:t>
      </w:r>
    </w:p>
    <w:p w:rsidR="00BB651C" w:rsidRDefault="001D44B5">
      <w:pPr>
        <w:spacing w:after="80" w:line="288" w:lineRule="auto"/>
        <w:ind w:left="648" w:hanging="648"/>
        <w:jc w:val="left"/>
      </w:pPr>
      <w:r>
        <w:rPr>
          <w:sz w:val="22"/>
        </w:rPr>
        <w:t>[5]</w:t>
      </w:r>
      <w:r>
        <w:rPr>
          <w:sz w:val="22"/>
        </w:rPr>
        <w:tab/>
        <w:t>"ClauseMiner: Prompt-engineered large lang</w:t>
      </w:r>
      <w:r>
        <w:rPr>
          <w:sz w:val="22"/>
        </w:rPr>
        <w:t>uage model for accurate, scalable legal clause extraction," Eng. Appl. Artif. Intell., 2026 (listed in the batch literature survey; not retrieved).</w:t>
      </w:r>
    </w:p>
    <w:p w:rsidR="00BB651C" w:rsidRDefault="001D44B5">
      <w:pPr>
        <w:spacing w:after="80" w:line="288" w:lineRule="auto"/>
        <w:ind w:left="648" w:hanging="648"/>
        <w:jc w:val="left"/>
      </w:pPr>
      <w:r>
        <w:rPr>
          <w:sz w:val="22"/>
        </w:rPr>
        <w:t>[6]</w:t>
      </w:r>
      <w:r>
        <w:rPr>
          <w:sz w:val="22"/>
        </w:rPr>
        <w:tab/>
        <w:t>"Autonomous contract analysis and clause risk detection using Legal-BERT," in Proc. 2025 Int. Conf. Sust</w:t>
      </w:r>
      <w:r>
        <w:rPr>
          <w:sz w:val="22"/>
        </w:rPr>
        <w:t>ainable Communication Networks and Application (ICSCN), 2025 (listed in the batch literature survey; not retrieved).</w:t>
      </w:r>
    </w:p>
    <w:p w:rsidR="00BB651C" w:rsidRDefault="001D44B5">
      <w:pPr>
        <w:spacing w:after="80" w:line="288" w:lineRule="auto"/>
        <w:ind w:left="648" w:hanging="648"/>
        <w:jc w:val="left"/>
      </w:pPr>
      <w:r>
        <w:rPr>
          <w:sz w:val="22"/>
        </w:rPr>
        <w:t>[7]</w:t>
      </w:r>
      <w:r>
        <w:rPr>
          <w:sz w:val="22"/>
        </w:rPr>
        <w:tab/>
        <w:t>"A study on large language model-based approach for construction contract risk detection," in Proc. 2024 Int. Conf. Big Data and Digita</w:t>
      </w:r>
      <w:r>
        <w:rPr>
          <w:sz w:val="22"/>
        </w:rPr>
        <w:t>l Management, 2024 (listed in the batch literature survey; not retrieved).</w:t>
      </w:r>
    </w:p>
    <w:p w:rsidR="00BB651C" w:rsidRDefault="001D44B5">
      <w:pPr>
        <w:spacing w:after="80" w:line="288" w:lineRule="auto"/>
        <w:ind w:left="648" w:hanging="648"/>
        <w:jc w:val="left"/>
      </w:pPr>
      <w:r>
        <w:rPr>
          <w:sz w:val="22"/>
        </w:rPr>
        <w:t>[8]</w:t>
      </w:r>
      <w:r>
        <w:rPr>
          <w:sz w:val="22"/>
        </w:rPr>
        <w:tab/>
        <w:t>D. Hendrycks, C. Burns, A. Chen, and S. Ball, "CUAD: An expert-annotated NLP dataset for legal contract review," in Proc. NeurIPS Datasets and Benchmarks Track, 2021, arXiv:2103</w:t>
      </w:r>
      <w:r>
        <w:rPr>
          <w:sz w:val="22"/>
        </w:rPr>
        <w:t>.06268.</w:t>
      </w:r>
    </w:p>
    <w:p w:rsidR="00BB651C" w:rsidRDefault="001D44B5">
      <w:pPr>
        <w:spacing w:after="80" w:line="288" w:lineRule="auto"/>
        <w:ind w:left="648" w:hanging="648"/>
        <w:jc w:val="left"/>
      </w:pPr>
      <w:r>
        <w:rPr>
          <w:sz w:val="22"/>
        </w:rPr>
        <w:t>[9]</w:t>
      </w:r>
      <w:r>
        <w:rPr>
          <w:sz w:val="22"/>
        </w:rPr>
        <w:tab/>
        <w:t>I. Chalkidis, M. Fergadiotis, P. Malakasiotis, N. Aletras, and I. Androutsopoulos, "LEGAL-BERT: The muppets straight out of law school," in Findings of the Assoc. Computational Linguistics: EMNLP 2020, 2020, pp. 2898-2904.</w:t>
      </w:r>
    </w:p>
    <w:p w:rsidR="00BB651C" w:rsidRDefault="001D44B5">
      <w:pPr>
        <w:spacing w:after="80" w:line="288" w:lineRule="auto"/>
        <w:ind w:left="648" w:hanging="648"/>
        <w:jc w:val="left"/>
      </w:pPr>
      <w:r>
        <w:rPr>
          <w:sz w:val="22"/>
        </w:rPr>
        <w:t>[10]</w:t>
      </w:r>
      <w:r>
        <w:rPr>
          <w:sz w:val="22"/>
        </w:rPr>
        <w:tab/>
        <w:t>J. Devlin, M.-W.</w:t>
      </w:r>
      <w:r>
        <w:rPr>
          <w:sz w:val="22"/>
        </w:rPr>
        <w:t xml:space="preserve"> Chang, K. Lee, and K. Toutanova, "BERT: Pre-training of deep bidirectional transformers for language understanding," in Proc. NAACL-HLT, 2019, pp. 4171-4186.</w:t>
      </w:r>
    </w:p>
    <w:p w:rsidR="00BB651C" w:rsidRDefault="001D44B5">
      <w:pPr>
        <w:spacing w:after="80" w:line="288" w:lineRule="auto"/>
        <w:ind w:left="648" w:hanging="648"/>
        <w:jc w:val="left"/>
      </w:pPr>
      <w:r>
        <w:rPr>
          <w:sz w:val="22"/>
        </w:rPr>
        <w:t>[11]</w:t>
      </w:r>
      <w:r>
        <w:rPr>
          <w:sz w:val="22"/>
        </w:rPr>
        <w:tab/>
        <w:t>P. Lewis et al., "Retrieval-augmented generation for knowledge-intensive NLP tasks," in Adva</w:t>
      </w:r>
      <w:r>
        <w:rPr>
          <w:sz w:val="22"/>
        </w:rPr>
        <w:t>nces in Neural Information Processing Systems (NeurIPS), vol. 33, 2020, pp. 9459-9474.</w:t>
      </w:r>
    </w:p>
    <w:p w:rsidR="00BB651C" w:rsidRDefault="001D44B5">
      <w:pPr>
        <w:spacing w:after="80" w:line="288" w:lineRule="auto"/>
        <w:ind w:left="648" w:hanging="648"/>
        <w:jc w:val="left"/>
      </w:pPr>
      <w:r>
        <w:rPr>
          <w:sz w:val="22"/>
        </w:rPr>
        <w:t>[12]</w:t>
      </w:r>
      <w:r>
        <w:rPr>
          <w:sz w:val="22"/>
        </w:rPr>
        <w:tab/>
        <w:t>N. Reimers and I. Gurevych, "Sentence-BERT: Sentence embeddings using Siamese BERT-networks," in Proc. EMNLP-IJCNLP, 2019, pp. 3982-3992.</w:t>
      </w:r>
    </w:p>
    <w:p w:rsidR="00BB651C" w:rsidRDefault="001D44B5">
      <w:pPr>
        <w:spacing w:after="80" w:line="288" w:lineRule="auto"/>
        <w:ind w:left="648" w:hanging="648"/>
        <w:jc w:val="left"/>
      </w:pPr>
      <w:r>
        <w:rPr>
          <w:sz w:val="22"/>
        </w:rPr>
        <w:t>[13]</w:t>
      </w:r>
      <w:r>
        <w:rPr>
          <w:sz w:val="22"/>
        </w:rPr>
        <w:tab/>
        <w:t>J. Lee et al., "Gemin</w:t>
      </w:r>
      <w:r>
        <w:rPr>
          <w:sz w:val="22"/>
        </w:rPr>
        <w:t>i Embedding: Generalizable embeddings from Gemini," arXiv:2503.07891, 2025.</w:t>
      </w:r>
    </w:p>
    <w:p w:rsidR="00BB651C" w:rsidRDefault="001D44B5">
      <w:pPr>
        <w:spacing w:after="80" w:line="288" w:lineRule="auto"/>
        <w:ind w:left="648" w:hanging="648"/>
        <w:jc w:val="left"/>
      </w:pPr>
      <w:r>
        <w:rPr>
          <w:sz w:val="22"/>
        </w:rPr>
        <w:t>[14]</w:t>
      </w:r>
      <w:r>
        <w:rPr>
          <w:sz w:val="22"/>
        </w:rPr>
        <w:tab/>
        <w:t>G. Salton and C. Buckley, "Term-weighting approaches in automatic text retrieval," Information Processing and Management, vol. 24, no. 5, pp. 513-523, 1988.</w:t>
      </w:r>
    </w:p>
    <w:p w:rsidR="00BB651C" w:rsidRDefault="001D44B5">
      <w:pPr>
        <w:spacing w:after="80" w:line="288" w:lineRule="auto"/>
        <w:ind w:left="648" w:hanging="648"/>
        <w:jc w:val="left"/>
      </w:pPr>
      <w:r>
        <w:rPr>
          <w:sz w:val="22"/>
        </w:rPr>
        <w:t>[15]</w:t>
      </w:r>
      <w:r>
        <w:rPr>
          <w:sz w:val="22"/>
        </w:rPr>
        <w:tab/>
        <w:t>R. Flesch, "A</w:t>
      </w:r>
      <w:r>
        <w:rPr>
          <w:sz w:val="22"/>
        </w:rPr>
        <w:t xml:space="preserve"> new readability yardstick," J. Applied Psychology, vol. 32, no. 3, pp. 221-233, 1948.</w:t>
      </w:r>
    </w:p>
    <w:p w:rsidR="00BB651C" w:rsidRDefault="001D44B5">
      <w:pPr>
        <w:spacing w:after="80" w:line="288" w:lineRule="auto"/>
        <w:ind w:left="648" w:hanging="648"/>
        <w:jc w:val="left"/>
      </w:pPr>
      <w:r>
        <w:rPr>
          <w:sz w:val="22"/>
        </w:rPr>
        <w:t>[16]</w:t>
      </w:r>
      <w:r>
        <w:rPr>
          <w:sz w:val="22"/>
        </w:rPr>
        <w:tab/>
        <w:t>A. A. Hagberg, D. A. Schult, and P. J. Swart, "Exploring network structure, dynamics, and function using NetworkX," in Proc. 7th Python in Science Conf. (SciPy), 20</w:t>
      </w:r>
      <w:r>
        <w:rPr>
          <w:sz w:val="22"/>
        </w:rPr>
        <w:t>08, pp. 11-15.</w:t>
      </w:r>
    </w:p>
    <w:p w:rsidR="00BB651C" w:rsidRDefault="001D44B5">
      <w:pPr>
        <w:spacing w:after="80" w:line="288" w:lineRule="auto"/>
        <w:ind w:left="648" w:hanging="648"/>
        <w:jc w:val="left"/>
      </w:pPr>
      <w:r>
        <w:rPr>
          <w:sz w:val="22"/>
        </w:rPr>
        <w:t>[17]</w:t>
      </w:r>
      <w:r>
        <w:rPr>
          <w:sz w:val="22"/>
        </w:rPr>
        <w:tab/>
        <w:t>F. Pedregosa et al., "Scikit-learn: Machine learning in Python," J. Machine Learning Research, vol. 12, pp. 2825-2830, 2011.</w:t>
      </w:r>
    </w:p>
    <w:p w:rsidR="00BB651C" w:rsidRDefault="001D44B5">
      <w:pPr>
        <w:spacing w:after="80" w:line="288" w:lineRule="auto"/>
        <w:ind w:left="648" w:hanging="648"/>
        <w:jc w:val="left"/>
      </w:pPr>
      <w:r>
        <w:rPr>
          <w:sz w:val="22"/>
        </w:rPr>
        <w:lastRenderedPageBreak/>
        <w:t>[18]</w:t>
      </w:r>
      <w:r>
        <w:rPr>
          <w:sz w:val="22"/>
        </w:rPr>
        <w:tab/>
        <w:t>N. Provos and D. Mazieres, "A future-adaptable password scheme," in Proc. USENIX Annual Technical Conf. (F</w:t>
      </w:r>
      <w:r>
        <w:rPr>
          <w:sz w:val="22"/>
        </w:rPr>
        <w:t>REENIX Track), 1999, pp. 81-91.</w:t>
      </w:r>
    </w:p>
    <w:p w:rsidR="00BB651C" w:rsidRDefault="001D44B5">
      <w:pPr>
        <w:spacing w:after="80" w:line="288" w:lineRule="auto"/>
        <w:ind w:left="648" w:hanging="648"/>
        <w:jc w:val="left"/>
      </w:pPr>
      <w:r>
        <w:rPr>
          <w:sz w:val="22"/>
        </w:rPr>
        <w:t>[19]</w:t>
      </w:r>
      <w:r>
        <w:rPr>
          <w:sz w:val="22"/>
        </w:rPr>
        <w:tab/>
        <w:t>M. Jones, J. Bradley, and N. Sakimura, "JSON Web Token (JWT)," RFC 7519, Internet Engineering Task Force, May 2015.</w:t>
      </w:r>
    </w:p>
    <w:p w:rsidR="00BB651C" w:rsidRDefault="001D44B5">
      <w:pPr>
        <w:spacing w:after="80" w:line="288" w:lineRule="auto"/>
        <w:ind w:left="648" w:hanging="648"/>
        <w:jc w:val="left"/>
      </w:pPr>
      <w:r>
        <w:rPr>
          <w:sz w:val="22"/>
        </w:rPr>
        <w:t>[20]</w:t>
      </w:r>
      <w:r>
        <w:rPr>
          <w:sz w:val="22"/>
        </w:rPr>
        <w:tab/>
        <w:t>Government of India, "The Indian Contract Act, 1872 (Act No. 9 of 1872)," sections 27, 73 and 74.</w:t>
      </w:r>
    </w:p>
    <w:p w:rsidR="00BB651C" w:rsidRDefault="001D44B5">
      <w:pPr>
        <w:spacing w:after="80" w:line="288" w:lineRule="auto"/>
        <w:ind w:left="648" w:hanging="648"/>
        <w:jc w:val="left"/>
      </w:pPr>
      <w:r>
        <w:rPr>
          <w:sz w:val="22"/>
        </w:rPr>
        <w:t>[21]</w:t>
      </w:r>
      <w:r>
        <w:rPr>
          <w:sz w:val="22"/>
        </w:rPr>
        <w:tab/>
        <w:t>Government of India, "The Arbitration and Conciliation Act, 1996 (Act No. 26 of 1996)."</w:t>
      </w:r>
    </w:p>
    <w:p w:rsidR="00BB651C" w:rsidRDefault="001D44B5">
      <w:pPr>
        <w:spacing w:after="80" w:line="288" w:lineRule="auto"/>
        <w:ind w:left="648" w:hanging="648"/>
        <w:jc w:val="left"/>
      </w:pPr>
      <w:r>
        <w:rPr>
          <w:sz w:val="22"/>
        </w:rPr>
        <w:t>[22]</w:t>
      </w:r>
      <w:r>
        <w:rPr>
          <w:sz w:val="22"/>
        </w:rPr>
        <w:tab/>
        <w:t>Government of India, "The Consumer Protection Act, 2019 (Act No. 35 of 2019)."</w:t>
      </w:r>
    </w:p>
    <w:p w:rsidR="00BB651C" w:rsidRDefault="001D44B5">
      <w:pPr>
        <w:spacing w:after="80" w:line="288" w:lineRule="auto"/>
        <w:ind w:left="648" w:hanging="648"/>
        <w:jc w:val="left"/>
      </w:pPr>
      <w:r>
        <w:rPr>
          <w:sz w:val="22"/>
        </w:rPr>
        <w:t>[23]</w:t>
      </w:r>
      <w:r>
        <w:rPr>
          <w:sz w:val="22"/>
        </w:rPr>
        <w:tab/>
        <w:t>Government of India, "The Copyright Act, 1957 (Act No. 14 of 1957)."</w:t>
      </w:r>
    </w:p>
    <w:sectPr w:rsidR="00BB651C" w:rsidSect="00034616">
      <w:headerReference w:type="default" r:id="rId9"/>
      <w:footerReference w:type="default" r:id="rId10"/>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D44B5">
      <w:pPr>
        <w:spacing w:after="0" w:line="240" w:lineRule="auto"/>
      </w:pPr>
      <w:r>
        <w:separator/>
      </w:r>
    </w:p>
  </w:endnote>
  <w:endnote w:type="continuationSeparator" w:id="0">
    <w:p w:rsidR="00000000" w:rsidRDefault="001D4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651C" w:rsidRDefault="001D44B5">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D44B5">
      <w:pPr>
        <w:spacing w:after="0" w:line="240" w:lineRule="auto"/>
      </w:pPr>
      <w:r>
        <w:separator/>
      </w:r>
    </w:p>
  </w:footnote>
  <w:footnote w:type="continuationSeparator" w:id="0">
    <w:p w:rsidR="00000000" w:rsidRDefault="001D44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651C" w:rsidRDefault="001D44B5">
    <w:pPr>
      <w:pStyle w:val="Header"/>
      <w:jc w:val="right"/>
    </w:pPr>
    <w:r>
      <w:rPr>
        <w:i/>
        <w:color w:val="555555"/>
        <w:sz w:val="18"/>
      </w:rPr>
      <w:t>ClauseGuard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4B5"/>
    <w:rsid w:val="0029639D"/>
    <w:rsid w:val="00326F90"/>
    <w:rsid w:val="00AA1D8D"/>
    <w:rsid w:val="00B47730"/>
    <w:rsid w:val="00BB65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0D909A7-66FC-476E-823E-FAEB8A9D1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1D44B5"/>
    <w:pPr>
      <w:spacing w:after="20" w:line="240" w:lineRule="auto"/>
    </w:pPr>
    <w:rPr>
      <w:sz w:val="20"/>
    </w:rPr>
  </w:style>
  <w:style w:type="paragraph" w:styleId="TOC2">
    <w:name w:val="toc 2"/>
    <w:basedOn w:val="Normal"/>
    <w:next w:val="Normal"/>
    <w:autoRedefine/>
    <w:uiPriority w:val="39"/>
    <w:semiHidden/>
    <w:unhideWhenUsed/>
    <w:rsid w:val="001D44B5"/>
    <w:pPr>
      <w:spacing w:after="20" w:line="240" w:lineRule="auto"/>
      <w:ind w:left="240"/>
    </w:pPr>
    <w:rPr>
      <w:sz w:val="20"/>
    </w:rPr>
  </w:style>
  <w:style w:type="paragraph" w:styleId="TableofFigures">
    <w:name w:val="table of figures"/>
    <w:basedOn w:val="Normal"/>
    <w:next w:val="Normal"/>
    <w:uiPriority w:val="99"/>
    <w:semiHidden/>
    <w:unhideWhenUsed/>
    <w:rsid w:val="001D44B5"/>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734ECA-9283-4E9F-9466-867D8420A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2541</Words>
  <Characters>13643</Characters>
  <Application>Microsoft Office Word</Application>
  <DocSecurity>0</DocSecurity>
  <Lines>228</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A6</dc:creator>
  <cp:keywords/>
  <dc:description>generated by python-docx</dc:description>
  <cp:lastModifiedBy>Madhava Reddy</cp:lastModifiedBy>
  <cp:revision>2</cp:revision>
  <dcterms:created xsi:type="dcterms:W3CDTF">2013-12-23T23:15:00Z</dcterms:created>
  <dcterms:modified xsi:type="dcterms:W3CDTF">2026-10-26T15:12:00Z</dcterms:modified>
  <cp:category/>
</cp:coreProperties>
</file>