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CONSULTING AGREEMENT</w:t>
      </w:r>
    </w:p>
    <w:p>
      <w:r>
        <w:t>This Agreement is made on 12 June 2026 between Lakeview Analytics LLP (the "Client") and Rohan Mehta (the "Consultant").</w:t>
      </w:r>
    </w:p>
    <w:p>
      <w:r>
        <w:rPr>
          <w:b/>
        </w:rPr>
        <w:t>1. Services</w:t>
      </w:r>
    </w:p>
    <w:p>
      <w:r>
        <w:t>The Consultant will prepare a quarterly sales report and a dashboard for the Client, as listed in Schedule A. Changes to the list need the written agreement of both parties.</w:t>
      </w:r>
    </w:p>
    <w:p>
      <w:r>
        <w:rPr>
          <w:b/>
        </w:rPr>
        <w:t>2. Fees</w:t>
      </w:r>
    </w:p>
    <w:p>
      <w:r>
        <w:t>The Client will pay Rs. 45,000 per month within fifteen days of receiving a valid invoice. Fees for work that has not been carried out will be returned if this Agreement ends early.</w:t>
      </w:r>
    </w:p>
    <w:p>
      <w:r>
        <w:rPr>
          <w:b/>
        </w:rPr>
        <w:t>3. Term and Termination</w:t>
      </w:r>
    </w:p>
    <w:p>
      <w:r>
        <w:t>This Agreement runs for six months. Either party may end it earlier by giving the other thirty days' written notice. If either party breaches a material term and does not fix the breach within fifteen days of written notice, the other party may end the Agreement at once.</w:t>
      </w:r>
    </w:p>
    <w:p>
      <w:r>
        <w:rPr>
          <w:b/>
        </w:rPr>
        <w:t>4. Ownership of Work</w:t>
      </w:r>
    </w:p>
    <w:p>
      <w:r>
        <w:t>The Client owns the reports and dashboards made for it under this Agreement once they are paid for. The Consultant keeps the ownership of tools, templates and methods that existed before this Agreement and gives the Client a licence to use them with the deliverables.</w:t>
      </w:r>
    </w:p>
    <w:p>
      <w:r>
        <w:rPr>
          <w:b/>
        </w:rPr>
        <w:t>5. Liability</w:t>
      </w:r>
    </w:p>
    <w:p>
      <w:r>
        <w:t>Each party's total liability under this Agreement is limited to the fees paid or payable in the six months before the claim. Neither party is liable for indirect loss.</w:t>
      </w:r>
    </w:p>
    <w:p>
      <w:r>
        <w:rPr>
          <w:b/>
        </w:rPr>
        <w:t>6. Confidentiality</w:t>
      </w:r>
    </w:p>
    <w:p>
      <w:r>
        <w:t>Each party will keep the other's confidential information private and use it only for this Agreement. This duty continues for two years after the Agreement ends.</w:t>
      </w:r>
    </w:p>
    <w:p>
      <w:r>
        <w:rPr>
          <w:b/>
        </w:rPr>
        <w:t>7. Disputes</w:t>
      </w:r>
    </w:p>
    <w:p>
      <w:r>
        <w:t>The parties will first try to settle any dispute by discussion within thirty days. If that fails, the dispute will go to a single arbitrator chosen jointly by both parties under the Arbitration and Conciliation Act, 1996, with the seat at Hyderabad.</w:t>
      </w:r>
    </w:p>
    <w:p>
      <w:r>
        <w:rPr>
          <w:b/>
        </w:rPr>
        <w:t>8. Governing Law</w:t>
      </w:r>
    </w:p>
    <w:p>
      <w:r>
        <w:t>This Agreement is governed by the laws of India.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