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FREELANCE SERVICES AGREEMENT</w:t>
      </w:r>
    </w:p>
    <w:p>
      <w:r>
        <w:t>This Agreement is made at Hyderabad on 4 May 2026 between Northbridge Digital Solutions Private Limited (the "Company") and Ananya Rao, an independent software developer (the "Consultant").</w:t>
      </w:r>
    </w:p>
    <w:p>
      <w:r>
        <w:rPr>
          <w:b/>
        </w:rPr>
        <w:t>1. Scope of Services</w:t>
      </w:r>
    </w:p>
    <w:p>
      <w:r>
        <w:t>The Consultant shall design, build and maintain the Company's customer portal and any related software as described in Schedule A and as the Company may reasonably request from time to time.</w:t>
      </w:r>
    </w:p>
    <w:p>
      <w:r>
        <w:rPr>
          <w:b/>
        </w:rPr>
        <w:t>2. Term and Termination</w:t>
      </w:r>
    </w:p>
    <w:p>
      <w:r>
        <w:t>This Agreement begins on 4 May 2026 for a period of twelve months. The Company may terminate this Agreement at any time, without cause or notice, at its sole discretion, and the Consultant shall have no right to object or to claim compensation for unfinished work.</w:t>
      </w:r>
    </w:p>
    <w:p>
      <w:r>
        <w:rPr>
          <w:b/>
        </w:rPr>
        <w:t>3. Fees and Payment</w:t>
      </w:r>
    </w:p>
    <w:p>
      <w:r>
        <w:t>The Company shall pay the Consultant a monthly fee of Rs. 60,000 against invoices raised on the last working day of each month. All payments made under this Agreement are non-refundable under any circumstances, including early termination by the Company, and the Consultant shall not be entitled to any refund of expenses incurred.</w:t>
      </w:r>
    </w:p>
    <w:p>
      <w:r>
        <w:rPr>
          <w:b/>
        </w:rPr>
        <w:t>4. Delay and Penalty</w:t>
      </w:r>
    </w:p>
    <w:p>
      <w:r>
        <w:t>If the Consultant delays delivery of any milestone, the Consultant shall pay a penalty of Rs. 25,000 per day of delay, irrespective of the actual loss suffered by the Company, and the Company may deduct the penalty from any amount due.</w:t>
      </w:r>
    </w:p>
    <w:p>
      <w:r>
        <w:rPr>
          <w:b/>
        </w:rPr>
        <w:t>5. Exclusivity and Non-Compete</w:t>
      </w:r>
    </w:p>
    <w:p>
      <w:r>
        <w:t>During the term of this Agreement and for a period of three years thereafter, the Consultant shall not, directly or indirectly, engage in any competing business or provide services to any competitor of the Company anywhere in India.</w:t>
      </w:r>
    </w:p>
    <w:p>
      <w:r>
        <w:rPr>
          <w:b/>
        </w:rPr>
        <w:t>6. Liability</w:t>
      </w:r>
    </w:p>
    <w:p>
      <w:r>
        <w:t>The Consultant shall be liable for any and all losses, damages, claims and expenses arising in connection with this Agreement, with no limitation on liability whatsoever.</w:t>
      </w:r>
    </w:p>
    <w:p>
      <w:r>
        <w:rPr>
          <w:b/>
        </w:rPr>
        <w:t>7. Intellectual Property</w:t>
      </w:r>
    </w:p>
    <w:p>
      <w:r>
        <w:t>All intellectual property created by the Consultant, whether related to this engagement or otherwise, including prior and pre-existing works, shall be assigned to the Company irrevocably and worldwide, and the Consultant waives all moral rights.</w:t>
      </w:r>
    </w:p>
    <w:p>
      <w:r>
        <w:rPr>
          <w:b/>
        </w:rPr>
        <w:t>8. Renewal</w:t>
      </w:r>
    </w:p>
    <w:p>
      <w:r>
        <w:t>This Agreement shall automatically renew for successive terms of twelve months each unless the Consultant gives written notice of non-renewal at least ninety days before the end of the then-current term.</w:t>
      </w:r>
    </w:p>
    <w:p>
      <w:r>
        <w:rPr>
          <w:b/>
        </w:rPr>
        <w:t>9. Dispute Resolution</w:t>
      </w:r>
    </w:p>
    <w:p>
      <w:r>
        <w:t>Any dispute arising out of this Agreement shall be referred to arbitration at Hyderabad before a sole arbitrator solely appointed by the Company, and the Consultant waives the right to approach any court except to enforce the award.</w:t>
      </w:r>
    </w:p>
    <w:p>
      <w:r>
        <w:rPr>
          <w:b/>
        </w:rPr>
        <w:t>10. Governing Law</w:t>
      </w:r>
    </w:p>
    <w:p>
      <w:r>
        <w:t>This Agreement shall be governed by and construed in accordance with the laws of India, and the courts at Hyderabad shall have exclusive jurisdiction.</w:t>
      </w:r>
    </w:p>
    <w:p>
      <w:r>
        <w:rPr>
          <w:b/>
        </w:rPr>
        <w:t>11. Confidentiality</w:t>
      </w:r>
    </w:p>
    <w:p>
      <w:r>
        <w:t>Each party shall keep confidential all non-public information of the other party disclosed in connection with this Agreement and shall not use it for any purpose other than performing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