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b/>
          <w:sz w:val="24"/>
        </w:rPr>
        <w:t>TKR College of Engineering &amp; Technology (Autonomous)</w:t>
      </w:r>
    </w:p>
    <w:p>
      <w:pPr>
        <w:spacing w:after="40" w:line="276" w:lineRule="auto"/>
        <w:jc w:val="center"/>
      </w:pPr>
      <w:r>
        <w:rPr>
          <w:b/>
          <w:sz w:val="26"/>
        </w:rPr>
        <w:t>Department of Computer Science and Engineering</w:t>
      </w:r>
    </w:p>
    <w:p>
      <w:pPr>
        <w:spacing w:after="120" w:line="276" w:lineRule="auto"/>
        <w:jc w:val="center"/>
      </w:pPr>
      <w:r>
        <w:rPr>
          <w:sz w:val="22"/>
        </w:rPr>
        <w:t>CSE-A   |   Batch A11 (CSE, Section A)</w:t>
      </w:r>
    </w:p>
    <w:p>
      <w:pPr>
        <w:spacing w:after="40" w:line="288" w:lineRule="auto"/>
        <w:jc w:val="center"/>
      </w:pPr>
      <w:r>
        <w:rPr>
          <w:b/>
          <w:sz w:val="32"/>
        </w:rPr>
        <w:t>AutoSecAI: Autonomous Pull Request Analysis for Security, Vulnerability Detection, and Code Quality using Multi-Agent LLMs</w:t>
      </w:r>
    </w:p>
    <w:p>
      <w:pPr>
        <w:spacing w:after="160" w:line="276" w:lineRule="auto"/>
        <w:jc w:val="center"/>
      </w:pPr>
      <w:r>
        <w:rPr>
          <w:i/>
          <w:sz w:val="24"/>
        </w:rPr>
        <w:t>(AutoSecAI)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083"/>
            <w:shd w:val="clear" w:color="auto" w:fill="D9E2F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1"/>
              </w:rPr>
              <w:t>S.No.</w:t>
            </w:r>
          </w:p>
        </w:tc>
        <w:tc>
          <w:tcPr>
            <w:tcW w:type="dxa" w:w="4153"/>
            <w:shd w:val="clear" w:color="auto" w:fill="D9E2F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3792"/>
            <w:shd w:val="clear" w:color="auto" w:fill="D9E2F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1"/>
              </w:rPr>
              <w:t>Roll / hall ticket no.</w:t>
            </w:r>
          </w:p>
        </w:tc>
      </w:tr>
      <w:tr>
        <w:tc>
          <w:tcPr>
            <w:tcW w:type="dxa" w:w="108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type="dxa" w:w="415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CHEPURI RISHIVARDHAN</w:t>
            </w:r>
          </w:p>
        </w:tc>
        <w:tc>
          <w:tcPr>
            <w:tcW w:type="dxa" w:w="3792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23K91A0553</w:t>
            </w:r>
          </w:p>
        </w:tc>
      </w:tr>
      <w:tr>
        <w:tc>
          <w:tcPr>
            <w:tcW w:type="dxa" w:w="108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type="dxa" w:w="415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BODA SANDEEP</w:t>
            </w:r>
          </w:p>
        </w:tc>
        <w:tc>
          <w:tcPr>
            <w:tcW w:type="dxa" w:w="3792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23K91A0539</w:t>
            </w:r>
          </w:p>
        </w:tc>
      </w:tr>
      <w:tr>
        <w:tc>
          <w:tcPr>
            <w:tcW w:type="dxa" w:w="108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type="dxa" w:w="415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DHARAVATH SEETHARAM</w:t>
            </w:r>
          </w:p>
        </w:tc>
        <w:tc>
          <w:tcPr>
            <w:tcW w:type="dxa" w:w="3792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23K91A0562</w:t>
            </w:r>
          </w:p>
        </w:tc>
      </w:tr>
      <w:tr>
        <w:tc>
          <w:tcPr>
            <w:tcW w:type="dxa" w:w="108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type="dxa" w:w="4153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NARISIMHA REDDY</w:t>
            </w:r>
          </w:p>
        </w:tc>
        <w:tc>
          <w:tcPr>
            <w:tcW w:type="dxa" w:w="3792"/>
          </w:tcPr>
          <w:p>
            <w:pPr>
              <w:spacing w:line="276" w:lineRule="auto" w:after="40"/>
              <w:jc w:val="left"/>
            </w:pPr>
            <w:r>
              <w:rPr>
                <w:sz w:val="21"/>
              </w:rPr>
              <w:t>24K95A0501</w:t>
            </w:r>
          </w:p>
        </w:tc>
      </w:tr>
    </w:tbl>
    <w:p>
      <w:pPr>
        <w:spacing w:after="120" w:line="312" w:lineRule="auto"/>
        <w:jc w:val="center"/>
      </w:pPr>
      <w:r>
        <w:rPr>
          <w:sz w:val="22"/>
        </w:rPr>
        <w:t>Under the guidance of: P. KISHORE, [DESIGNATION]</w:t>
      </w:r>
    </w:p>
    <w:p>
      <w:pPr>
        <w:spacing w:after="200" w:line="288" w:lineRule="auto" w:before="120"/>
        <w:jc w:val="center"/>
      </w:pPr>
      <w:r>
        <w:rPr>
          <w:b/>
          <w:sz w:val="30"/>
        </w:rPr>
        <w:t>CONCLUSION, FUTURE SCOPE AND REFERENCES</w:t>
      </w:r>
    </w:p>
    <w:p>
      <w:r>
        <w:t>This document concludes the project: what was achieved, the key findings, the known limitations, concrete future work, and the numbered list of references.</w:t>
      </w:r>
    </w:p>
    <w:p>
      <w:pPr>
        <w:pStyle w:val="Heading2"/>
      </w:pPr>
      <w:r>
        <w:t>1  Summary of the Work</w:t>
      </w:r>
    </w:p>
    <w:p>
      <w:r>
        <w:t>This project built AutoSecAI, an analyser that reviews a pull request for security flaws and code-quality problems and explains what it found. A change can be supplied as a diff, two versions of a file, a GitHub link or uploaded files. Seven cooperating agents then parse it, apply abstract-syntax-tree and taint rules, score every changed function with the metric model of the base paper [1], explain each finding with its weakness class, impact and source-to-sink flow, propose a patch that is re-scanned to check that it works, summarise maintainability, and issue a risk score and a verdict. A codebase assistant answers natural-language questions about a repository, and a Model Lab reproduces the base-paper pipeline on Python. The tool is a FastAPI service with a React interface, 17 automated tests and a demonstration account.</w:t>
      </w:r>
    </w:p>
    <w:p>
      <w:r>
        <w:t>On a generated corpus of 6,000 Python functions the metric model (XGBoost) reached an F1 of 0.851 (mean 0.842 +/- 0.006 over five corpora), the rule engine 0.800 and the two together 0.891. The built-in vulnerable pull request was reviewed in a median of 375 ms and blocked with a risk score of 99, and the codebase assistant ranked the expected file first for 8 of 12 questions. These results come from generated data and a small repository; no real labelled pull requests were available.</w:t>
      </w:r>
    </w:p>
    <w:p>
      <w:pPr>
        <w:pStyle w:val="Heading2"/>
      </w:pPr>
      <w:r>
        <w:t>2  Objectives Achieved</w:t>
      </w:r>
    </w:p>
    <w:p>
      <w:r>
        <w:t xml:space="preserve">Of the six objectives, the first three were achieved with the limits noted in the results chapter: diff context is extracted on request, not by a webhook; metrics rank the changed functions; and 30 security rules detect injection and validation flaws but not missing object-level authorisation. The objective of deploying LLM agents is met only in part, because the agents are deterministic programs with an optional language-model layer, and related repository code is retrieved by the codebase assistant but not yet fed into the review comments. A consolidated comment is generated and exported, but not posted to GitHub, and </w:t>
      </w:r>
      <w:r>
        <w:rPr>
          <w:b/>
        </w:rPr>
        <w:t>precision against manually reviewed pull requests was not evaluated</w:t>
      </w:r>
      <w:r>
        <w:t>, because no such set was available.</w:t>
      </w:r>
    </w:p>
    <w:p>
      <w:pPr>
        <w:pStyle w:val="Heading2"/>
      </w:pPr>
      <w:r>
        <w:t>3  Key Findings</w:t>
      </w:r>
    </w:p>
    <w:p>
      <w:pPr>
        <w:tabs>
          <w:tab w:pos="576" w:val="left"/>
        </w:tabs>
        <w:spacing w:after="40"/>
        <w:ind w:left="576" w:hanging="432"/>
      </w:pPr>
      <w:r>
        <w:t>1.</w:t>
        <w:tab/>
      </w:r>
      <w:r>
        <w:rPr>
          <w:b/>
        </w:rPr>
        <w:t>Two detectors are better than one.</w:t>
      </w:r>
      <w:r>
        <w:t xml:space="preserve"> On 1,500 held-out functions the rule engine found 88 of 125 vulnerable functions and the model 97; together they found 110 (F1 0.891).</w:t>
      </w:r>
    </w:p>
    <w:p>
      <w:pPr>
        <w:tabs>
          <w:tab w:pos="576" w:val="left"/>
        </w:tabs>
        <w:spacing w:after="40"/>
        <w:ind w:left="576" w:hanging="432"/>
      </w:pPr>
      <w:r>
        <w:t>2.</w:t>
        <w:tab/>
      </w:r>
      <w:r>
        <w:rPr>
          <w:b/>
        </w:rPr>
        <w:t>Taint-oriented metrics carry the signal.</w:t>
      </w:r>
      <w:r>
        <w:t xml:space="preserve"> The three metrics added for Python injection (M12, M13, M14) hold 46.4% of the importance; keeping only five metrics gave a validation F1 of 0.566, keeping thirteen 0.786.</w:t>
      </w:r>
    </w:p>
    <w:p>
      <w:pPr>
        <w:tabs>
          <w:tab w:pos="576" w:val="left"/>
        </w:tabs>
        <w:spacing w:after="40"/>
        <w:ind w:left="576" w:hanging="432"/>
      </w:pPr>
      <w:r>
        <w:t>3.</w:t>
        <w:tab/>
      </w:r>
      <w:r>
        <w:rPr>
          <w:b/>
        </w:rPr>
        <w:t>The headline is the best case.</w:t>
      </w:r>
      <w:r>
        <w:t xml:space="preserve"> XGBoost reached 0.851 on the stored corpus but 0.842 +/- 0.006 on average over five; Random Forest averaged 0.814 +/- 0.010.</w:t>
      </w:r>
    </w:p>
    <w:p>
      <w:pPr>
        <w:tabs>
          <w:tab w:pos="576" w:val="left"/>
        </w:tabs>
        <w:spacing w:after="40"/>
        <w:ind w:left="576" w:hanging="432"/>
      </w:pPr>
      <w:r>
        <w:t>4.</w:t>
        <w:tab/>
      </w:r>
      <w:r>
        <w:rPr>
          <w:b/>
        </w:rPr>
        <w:t>Balancing was not shown to help.</w:t>
      </w:r>
      <w:r>
        <w:t xml:space="preserve"> Recall was identical with and without SMOTE-Tomek and precision fell; because the feature count also differed, the effect of balancing alone remains unmeasured.</w:t>
      </w:r>
    </w:p>
    <w:p>
      <w:pPr>
        <w:tabs>
          <w:tab w:pos="576" w:val="left"/>
        </w:tabs>
        <w:spacing w:after="40"/>
        <w:ind w:left="576" w:hanging="432"/>
      </w:pPr>
      <w:r>
        <w:t>5.</w:t>
        <w:tab/>
      </w:r>
      <w:r>
        <w:rPr>
          <w:b/>
        </w:rPr>
        <w:t>The model cannot be trusted alone.</w:t>
      </w:r>
      <w:r>
        <w:t xml:space="preserve"> It gave a probability of 0.006 to a plain SQL-injection function that builds its query in a variable, which the rule SQLI flagged; the type classifier reached only 0.651 accuracy.</w:t>
      </w:r>
    </w:p>
    <w:p>
      <w:pPr>
        <w:tabs>
          <w:tab w:pos="576" w:val="left"/>
        </w:tabs>
        <w:spacing w:after="40"/>
        <w:ind w:left="576" w:hanging="432"/>
      </w:pPr>
      <w:r>
        <w:t>6.</w:t>
        <w:tab/>
      </w:r>
      <w:r>
        <w:rPr>
          <w:b/>
        </w:rPr>
        <w:t>Fast, but patches need judgement.</w:t>
      </w:r>
      <w:r>
        <w:t xml:space="preserve"> A review took a median of 375 ms; seven of the 15 security findings of the demonstration received a verified patch and the other eight were left to the developer.</w:t>
      </w:r>
    </w:p>
    <w:p>
      <w:pPr>
        <w:keepNext/>
        <w:spacing w:before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2234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_vs_m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3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1: Rule engine, metric model and their combination on the same held-out functions</w:t>
      </w:r>
    </w:p>
    <w:p>
      <w:pPr>
        <w:pStyle w:val="Heading2"/>
      </w:pPr>
      <w:r>
        <w:t>4  Practical Applications</w:t>
      </w:r>
    </w:p>
    <w:p>
      <w:pPr>
        <w:pStyle w:val="ListBullet"/>
        <w:spacing w:after="40"/>
      </w:pPr>
      <w:r>
        <w:rPr>
          <w:b/>
        </w:rPr>
        <w:t>Teams that review pull requests</w:t>
      </w:r>
      <w:r>
        <w:t xml:space="preserve"> can run the tool before a human reviewer, read the verdict and the findings, and paste the generated comment or upload the SARIF file to code scanning [26].</w:t>
      </w:r>
    </w:p>
    <w:p>
      <w:pPr>
        <w:pStyle w:val="ListBullet"/>
        <w:spacing w:after="40"/>
      </w:pPr>
      <w:r>
        <w:rPr>
          <w:b/>
        </w:rPr>
        <w:t>Junior developers</w:t>
      </w:r>
      <w:r>
        <w:t xml:space="preserve"> can index an unfamiliar repository and ask where authentication, routes or the database layer are handled, and read the generated onboarding guide.</w:t>
      </w:r>
    </w:p>
    <w:p>
      <w:pPr>
        <w:pStyle w:val="ListBullet"/>
        <w:spacing w:after="40"/>
      </w:pPr>
      <w:r>
        <w:rPr>
          <w:b/>
        </w:rPr>
        <w:t>Security trainers</w:t>
      </w:r>
      <w:r>
        <w:t xml:space="preserve"> can use the demonstration pull request and the explanations, with their CWE [25] and OWASP [24] mapping, to teach the common injection flaws.</w:t>
      </w:r>
    </w:p>
    <w:p>
      <w:pPr>
        <w:pStyle w:val="ListBullet"/>
        <w:spacing w:after="40"/>
      </w:pPr>
      <w:r>
        <w:rPr>
          <w:b/>
        </w:rPr>
        <w:t>Students of machine learning for software engineering</w:t>
      </w:r>
      <w:r>
        <w:t xml:space="preserve"> can use the Model Lab to see the effect of feature selection, balancing and model choice on a documented generator.</w:t>
      </w:r>
    </w:p>
    <w:p>
      <w:pPr>
        <w:pStyle w:val="ListBullet"/>
        <w:spacing w:after="40"/>
      </w:pPr>
      <w:r>
        <w:rPr>
          <w:b/>
        </w:rPr>
        <w:t>Maintainers of small projects</w:t>
      </w:r>
      <w:r>
        <w:t xml:space="preserve"> without a security team can run the checks locally, because nothing leaves the machine unless the optional language-model layer is switched on.</w:t>
      </w:r>
    </w:p>
    <w:p>
      <w:pPr>
        <w:pStyle w:val="Heading2"/>
      </w:pPr>
      <w:r>
        <w:t>5  Known Limitations</w:t>
      </w:r>
    </w:p>
    <w:p>
      <w:pPr>
        <w:pStyle w:val="ListBullet"/>
        <w:spacing w:after="40"/>
      </w:pPr>
      <w:r>
        <w:t>The metric model was trained and tested on generated Python functions; its scores are a prioritisation signal and the figures do not transfer to real repositories. The rule-engine figures are optimistic, and no comparison with Bandit, Semgrep or CodeQL was run.</w:t>
      </w:r>
    </w:p>
    <w:p>
      <w:pPr>
        <w:pStyle w:val="ListBullet"/>
        <w:spacing w:after="40"/>
      </w:pPr>
      <w:r>
        <w:t>Deep analysis covers Python only; JavaScript, PHP and Java have regex rules, and missing authorisation checks are not detected. Whole-file fixes exist only for full-file input.</w:t>
      </w:r>
    </w:p>
    <w:p>
      <w:pPr>
        <w:pStyle w:val="ListBullet"/>
        <w:spacing w:after="40"/>
      </w:pPr>
      <w:r>
        <w:t>The optional language-model mode and the real GitHub pull-request fetch were not measured; the job table is in memory and the history is shared by all accounts.</w:t>
      </w:r>
    </w:p>
    <w:p>
      <w:pPr>
        <w:pStyle w:val="ListBullet"/>
        <w:spacing w:after="40"/>
      </w:pPr>
      <w:r>
        <w:t>The retrieval check used 12 questions on one small repository, and no load test or user study was carried out. No numeric comparison with the base paper is possible.</w:t>
      </w:r>
    </w:p>
    <w:p>
      <w:pPr>
        <w:pStyle w:val="Heading2"/>
      </w:pPr>
      <w:r>
        <w:t>6  Future Scope</w:t>
      </w:r>
    </w:p>
    <w:p>
      <w:r>
        <w:t>The items below follow from the limitations and from the gaps found in the literature survey.</w:t>
      </w:r>
    </w:p>
    <w:p>
      <w:pPr>
        <w:pStyle w:val="Heading2"/>
      </w:pPr>
      <w:r>
        <w:t>7  Improvements</w:t>
      </w:r>
    </w:p>
    <w:p>
      <w:pPr>
        <w:pStyle w:val="ListBullet"/>
        <w:spacing w:after="40"/>
      </w:pPr>
      <w:r>
        <w:t>Collect a labelled set of real pull requests and measure precision, recall and the false-alarm rate of the whole system on it, next to Bandit, Semgrep and CodeQL.</w:t>
      </w:r>
    </w:p>
    <w:p>
      <w:pPr>
        <w:pStyle w:val="ListBullet"/>
        <w:spacing w:after="40"/>
      </w:pPr>
      <w:r>
        <w:t>Replace the generated corpus with real Python functions labelled from public vulnerability records, retrain, and report both results.</w:t>
      </w:r>
    </w:p>
    <w:p>
      <w:pPr>
        <w:pStyle w:val="ListBullet"/>
        <w:spacing w:after="40"/>
      </w:pPr>
      <w:r>
        <w:t>Re-select the number of metrics for every corpus and run a single-factor experiment for balancing.</w:t>
      </w:r>
    </w:p>
    <w:p>
      <w:pPr>
        <w:pStyle w:val="ListBullet"/>
        <w:spacing w:after="40"/>
      </w:pPr>
      <w:r>
        <w:t>Follow taint across function and module boundaries, add checks for missing authorisation, and add a per-user owner column to the review history.</w:t>
      </w:r>
    </w:p>
    <w:p>
      <w:pPr>
        <w:pStyle w:val="Heading2"/>
      </w:pPr>
      <w:r>
        <w:t>8  Additional Features</w:t>
      </w:r>
    </w:p>
    <w:p>
      <w:pPr>
        <w:pStyle w:val="ListBullet"/>
        <w:spacing w:after="40"/>
      </w:pPr>
      <w:r>
        <w:t>A GitHub App or webhook that reviews a pull request when it is opened and posts the consolidated comment and the suggested patches back.</w:t>
      </w:r>
    </w:p>
    <w:p>
      <w:pPr>
        <w:pStyle w:val="ListBullet"/>
        <w:spacing w:after="40"/>
      </w:pPr>
      <w:r>
        <w:t>Feeding the codebase assistant's retrieval into the review, so that a finding can mention the callers and related code of the changed function.</w:t>
      </w:r>
    </w:p>
    <w:p>
      <w:pPr>
        <w:pStyle w:val="ListBullet"/>
        <w:spacing w:after="40"/>
      </w:pPr>
      <w:r>
        <w:t>Running the project's own test suite against a patch before it is marked verified.</w:t>
      </w:r>
    </w:p>
    <w:p>
      <w:pPr>
        <w:pStyle w:val="ListBullet"/>
        <w:spacing w:after="40"/>
      </w:pPr>
      <w:r>
        <w:t>More languages with real parsers (JavaScript and TypeScript first), a baseline file for known findings, and a dependency-vulnerability check.</w:t>
      </w:r>
    </w:p>
    <w:p>
      <w:pPr>
        <w:pStyle w:val="Heading2"/>
      </w:pPr>
      <w:r>
        <w:t>9  Scalability and Deployment</w:t>
      </w:r>
    </w:p>
    <w:p>
      <w:pPr>
        <w:pStyle w:val="ListBullet"/>
        <w:spacing w:after="40"/>
      </w:pPr>
      <w:r>
        <w:t>Move the job table to a queue with a worker process, so that reviews survive a restart and several can run in parallel.</w:t>
      </w:r>
    </w:p>
    <w:p>
      <w:pPr>
        <w:pStyle w:val="ListBullet"/>
        <w:spacing w:after="40"/>
      </w:pPr>
      <w:r>
        <w:t>Replace SQLite with a server database, store the findings in tables, and add user and team ownership with role-based access.</w:t>
      </w:r>
    </w:p>
    <w:p>
      <w:pPr>
        <w:pStyle w:val="ListBullet"/>
        <w:spacing w:after="40"/>
      </w:pPr>
      <w:r>
        <w:t>Serve over HTTPS with a generated signing secret instead of the development default, add rate limiting, and complete a security review of the service itself.</w:t>
      </w:r>
    </w:p>
    <w:p>
      <w:pPr>
        <w:pStyle w:val="ListBullet"/>
        <w:spacing w:after="40"/>
      </w:pPr>
      <w:r>
        <w:t>Package the service as containers with a production build of the interface, measure load and concurrency (not tested here), and run the 17 tests, the smoke test and the 22 browser flows in continuous integration.</w:t>
      </w:r>
    </w:p>
    <w:p>
      <w:pPr>
        <w:pStyle w:val="Heading2"/>
      </w:pPr>
      <w:r>
        <w:t>10  Further Research</w:t>
      </w:r>
    </w:p>
    <w:p>
      <w:pPr>
        <w:pStyle w:val="ListBullet"/>
        <w:spacing w:after="40"/>
      </w:pPr>
      <w:r>
        <w:t>Compare the metric model with learned detectors of the kind listed in the batch survey, such as hybrid CNN-LSTM [3] and code-language-model approaches [6], on the same real labelled set.</w:t>
      </w:r>
    </w:p>
    <w:p>
      <w:pPr>
        <w:pStyle w:val="ListBullet"/>
        <w:spacing w:after="40"/>
      </w:pPr>
      <w:r>
        <w:t>Study whether a checklist-based evaluation of review comments, as proposed in [2], can be applied to the explanations that AutoSecAI generates, and how a language model should be trained or prompted to meet it.</w:t>
      </w:r>
    </w:p>
    <w:p>
      <w:pPr>
        <w:pStyle w:val="ListBullet"/>
        <w:spacing w:after="40"/>
      </w:pPr>
      <w:r>
        <w:t>Learn the weights of the risk score and the verdict rule from developers' decisions, and calibrate the model probability before combining it with the rule evidence.</w:t>
      </w:r>
    </w:p>
    <w:p>
      <w:pPr>
        <w:pStyle w:val="ListBullet"/>
        <w:spacing w:after="40"/>
      </w:pPr>
      <w:r>
        <w:t>Investigate metrics that capture taint across functions, and whether M12-M14 generalise to other languages.</w:t>
      </w:r>
    </w:p>
    <w:p>
      <w:pPr>
        <w:pStyle w:val="Heading1"/>
        <w:pageBreakBefore/>
      </w:pPr>
      <w:r>
        <w:t>REFERENCES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[1]</w:t>
        <w:tab/>
        <w:t>B. K. E. Abbasi and A. Shameli-Sendi, "Leveraging key source code metrics for predicting software vulnerabilities with machine learning," IEEE Access, vol. 14, pp. 52610-52625, 2026, doi: 10.1109/ACCESS.2026.3679930.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[2]</w:t>
        <w:tab/>
        <w:t>D. Zhang, S. Zhang, Z. Jin, J. Luo, S. Fu and E. Nallipogu, "Sphinx: Benchmarking and modeling for LLM-driven pull request review," arXiv:2601.04252, Jan. 2026.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[3]</w:t>
        <w:tab/>
        <w:t>"Enhancing software security with CNN-LSTM hybrid model: Vulnerability detection," 2025 (listed in the batch literature survey; not independently retrieved).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[4]</w:t>
        <w:tab/>
        <w:t>"Real-time AI code security auditing: Automated vulnerability detection and remediation through meta-experimental analysis," 2025 (listed in the batch literature survey; not independently retrieved).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[5]</w:t>
        <w:tab/>
        <w:t>"Improving software security: A multi-modal framework for vulnerability detection using code simplification and meta-learning," 2025 (listed in the batch literature survey; not independently retrieved).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[6]</w:t>
        <w:tab/>
        <w:t>"Advancing software security: DcodeBERT for automatic vulnerability detection and repair," 2024 (listed in the batch literature survey; not independently retrieved).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[7]</w:t>
        <w:tab/>
        <w:t>H. Shahriar and M. Zulkernine, "Mitigating program security vulnerabilities: Approaches and challenges," ACM Comput. Surv., vol. 44, no. 3, pp. 1-46, Jun. 2012.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[8]</w:t>
        <w:tab/>
        <w:t>Y. Shin and L. Williams, "Can traditional fault prediction models be used for vulnerability prediction?" Empirical Softw. Eng., vol. 18, no. 1, pp. 25-59, Feb. 2013.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[9]</w:t>
        <w:tab/>
        <w:t>B. Chernis and R. Verma, "Machine learning methods for software vulnerability detection," in Proc. 4th ACM Int. Workshop Secur. Privacy Anal., Mar. 2018, pp. 31-39.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[10]</w:t>
        <w:tab/>
        <w:t>F. Yamaguchi, M. Lottmann and K. Rieck, "Generalized vulnerability extrapolation using abstract syntax trees," in Proc. 28th Annu. Comput. Secur. Appl. Conf., Dec. 2012, pp. 359-368.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[11]</w:t>
        <w:tab/>
        <w:t>R. Russell et al., "Automated vulnerability detection in source code using deep representation learning," in Proc. 17th IEEE Int. Conf. Mach. Learn. Appl. (ICMLA), Dec. 2018, pp. 757-762.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[12]</w:t>
        <w:tab/>
        <w:t>Z. Li, D. Zou, S. Xu, X. Ou, H. Jin, S. Wang, Z. Deng and Y. Zhong, "VulDeePecker: A deep learning-based system for vulnerability detection," arXiv:1801.01681, 2018.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[13]</w:t>
        <w:tab/>
        <w:t>L. Wartschinski, Y. Noller, T. Vogel, T. Kehrer and L. Grunske, "VUDENC: Vulnerability detection with deep learning on a natural codebase for Python," Inf. Softw. Technol., vol. 144, Art. no. 106809, Apr. 2022.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[14]</w:t>
        <w:tab/>
        <w:t>H. Hanif, M. H. N. Md Nasir, M. F. Ab Razak, A. Firdaus and N. B. Anuar, "The rise of software vulnerability: Taxonomy of software vulnerabilities detection and machine learning approaches," J. Netw. Comput. Appl., vol. 179, Art. no. 103009, Apr. 2021.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[15]</w:t>
        <w:tab/>
        <w:t>N. V. Chawla, K. W. Bowyer, L. O. Hall and W. P. Kegelmeyer, "SMOTE: Synthetic minority over-sampling technique," J. Artif. Intell. Res., vol. 16, pp. 321-357, 2002.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[16]</w:t>
        <w:tab/>
        <w:t>I. Tomek, "Two modifications of CNN," IEEE Trans. Syst., Man, Cybern., vol. SMC-6, no. 11, pp. 769-772, Nov. 1976.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[17]</w:t>
        <w:tab/>
        <w:t>G. E. A. P. A. Batista, R. C. Prati and M. C. Monard, "A study of the behavior of several methods for balancing machine learning training data," ACM SIGKDD Explor. Newsl., vol. 6, no. 1, pp. 20-29, 2004.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[18]</w:t>
        <w:tab/>
        <w:t>L. Breiman, "Random forests," Mach. Learn., vol. 45, no. 1, pp. 5-32, 2001.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[19]</w:t>
        <w:tab/>
        <w:t>T. Chen and C. Guestrin, "XGBoost: A scalable tree boosting system," in Proc. 22nd ACM SIGKDD Int. Conf. Knowl. Discovery Data Mining, 2016, pp. 785-794.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[20]</w:t>
        <w:tab/>
        <w:t>F. Pedregosa et al., "Scikit-learn: Machine learning in Python," J. Mach. Learn. Res., vol. 12, pp. 2825-2830, 2011.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[21]</w:t>
        <w:tab/>
        <w:t>T. J. McCabe, "A complexity measure," IEEE Trans. Softw. Eng., vol. SE-2, no. 4, pp. 308-320, Dec. 1976.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[22]</w:t>
        <w:tab/>
        <w:t>G. Salton and C. Buckley, "Term-weighting approaches in automatic text retrieval," Inf. Process. Manage., vol. 24, no. 5, pp. 513-523, 1988.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[23]</w:t>
        <w:tab/>
        <w:t>L. Page, S. Brin, R. Motwani and T. Winograd, "The PageRank citation ranking: Bringing order to the web," Stanford InfoLab, Stanford, CA, USA, Tech. Rep. 1999-66, 1999.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[24]</w:t>
        <w:tab/>
        <w:t>OWASP Foundation, "OWASP Top 10:2021," 2021. [Online]. Available: https://owasp.org/Top10/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[25]</w:t>
        <w:tab/>
        <w:t>MITRE Corporation, "Common Weakness Enumeration (CWE)." [Online]. Available: https://cwe.mitre.org/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[26]</w:t>
        <w:tab/>
        <w:t>OASIS, "Static Analysis Results Interchange Format (SARIF) Version 2.1.0," OASIS Standard, Mar. 2020.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[27]</w:t>
        <w:tab/>
        <w:t>M. Jones, J. Bradley and N. Sakimura, "JSON Web Token (JWT)," IETF RFC 7519, May 2015.</w:t>
      </w:r>
    </w:p>
    <w:p>
      <w:pPr>
        <w:spacing w:after="80" w:line="288" w:lineRule="auto"/>
        <w:ind w:left="648" w:hanging="648"/>
        <w:jc w:val="left"/>
      </w:pPr>
      <w:r>
        <w:rPr>
          <w:sz w:val="22"/>
        </w:rPr>
        <w:t>[28]</w:t>
        <w:tab/>
        <w:t>N. Provos and D. Mazieres, "A future-adaptable password scheme," in Proc. USENIX Annu. Tech. Conf., 1999, pp. 81-91.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r>
      <w:rPr>
        <w:b w:val="0"/>
        <w:sz w:val="20"/>
      </w:rPr>
      <w:fldChar w:fldCharType="begin"/>
    </w:r>
    <w:r>
      <w:rPr>
        <w:b w:val="0"/>
        <w:sz w:val="20"/>
      </w:rPr>
      <w:instrText xml:space="preserve">PAGE</w:instrText>
    </w:r>
    <w:r>
      <w:rPr>
        <w:b w:val="0"/>
        <w:sz w:val="20"/>
      </w:rPr>
      <w:fldChar w:fldCharType="separate"/>
    </w:r>
    <w:r>
      <w:rPr>
        <w:b w:val="0"/>
        <w:sz w:val="20"/>
      </w:rPr>
      <w:t>1</w:t>
    </w:r>
    <w:r>
      <w:rPr>
        <w:b w:val="0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/>
    <w:r>
      <w:rPr>
        <w:rFonts w:ascii="Times New Roman" w:hAnsi="Times New Roman" w:cs="Times New Roman" w:eastAsia="Times New Roman"/>
        <w:i/>
        <w:color w:val="555555"/>
        <w:sz w:val="18"/>
      </w:rPr>
      <w:t>AutoSecAI - Conclusion, Future Scope And References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76" w:lineRule="auto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6" w:lineRule="auto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Lines/>
      <w:spacing w:line="240" w:lineRule="auto" w:before="80" w:after="200"/>
      <w:jc w:val="center"/>
    </w:pPr>
    <w:rPr>
      <w:rFonts w:ascii="Times New Roman" w:hAnsi="Times New Roman" w:cs="Times New Roman" w:eastAsia="Times New Roman"/>
      <w:b/>
      <w:sz w:val="22"/>
    </w:rPr>
  </w:style>
  <w:style w:type="paragraph" w:customStyle="1" w:styleId="TableCaption">
    <w:name w:val="Table Caption"/>
    <w:basedOn w:val="Normal"/>
    <w:pPr>
      <w:keepNext/>
      <w:spacing w:line="240" w:lineRule="auto" w:before="80" w:after="200"/>
      <w:jc w:val="center"/>
    </w:pPr>
    <w:rPr>
      <w:rFonts w:ascii="Times New Roman" w:hAnsi="Times New Roman" w:cs="Times New Roman" w:eastAsia="Times New Roman"/>
      <w:b/>
      <w:sz w:val="22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rFonts w:ascii="Times New Roman" w:hAnsi="Times New Roman" w:cs="Times New Roman" w:eastAsia="Times New Roman"/>
      <w:b/>
      <w:sz w:val="28"/>
    </w:rPr>
  </w:style>
  <w:style w:type="paragraph" w:customStyle="1" w:styleId="CodeBlock">
    <w:name w:val="Code Block"/>
    <w:basedOn w:val="Normal"/>
    <w:pPr>
      <w:spacing w:line="240" w:lineRule="auto" w:after="0"/>
      <w:jc w:val="left"/>
    </w:pPr>
    <w:rPr>
      <w:rFonts w:ascii="Courier New" w:hAnsi="Courier New" w:cs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 A11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