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b/>
          <w:sz w:val="26"/>
        </w:rPr>
        <w:t>Department of Computer Science and Engineering (Data Science)</w:t>
      </w:r>
    </w:p>
    <w:p>
      <w:pPr>
        <w:spacing w:after="120" w:line="276" w:lineRule="auto"/>
        <w:jc w:val="center"/>
      </w:pPr>
      <w:r>
        <w:rPr>
          <w:sz w:val="22"/>
        </w:rPr>
        <w:t>CSDS-A   |   Batch A9 (CSE - Data Science, Section A)</w:t>
      </w:r>
    </w:p>
    <w:p>
      <w:pPr>
        <w:spacing w:after="40" w:line="288" w:lineRule="auto"/>
        <w:jc w:val="center"/>
      </w:pPr>
      <w:r>
        <w:rPr>
          <w:b/>
          <w:sz w:val="32"/>
        </w:rPr>
        <w:t>Privacy-Preserving Machine Unlearning in Federated LLMs: A Certified Right-to-Be-Forgotten Framework</w:t>
      </w:r>
    </w:p>
    <w:p>
      <w:pPr>
        <w:spacing w:after="160" w:line="276" w:lineRule="auto"/>
        <w:jc w:val="center"/>
      </w:pPr>
      <w:r>
        <w:rPr>
          <w:i/>
          <w:sz w:val="24"/>
        </w:rPr>
        <w:t>(ForgetSafe)</w:t>
      </w:r>
    </w:p>
    <w:tbl>
      <w:tblPr>
        <w:tblStyle w:val="TableGrid"/>
        <w:tblW w:type="auto" w:w="0"/>
        <w:jc w:val="center"/>
        <w:tblLook w:firstColumn="1" w:firstRow="1" w:lastColumn="0" w:lastRow="0" w:noHBand="0" w:noVBand="1" w:val="04A0"/>
      </w:tblPr>
      <w:tblGrid>
        <w:gridCol w:w="3106"/>
        <w:gridCol w:w="3106"/>
        <w:gridCol w:w="3106"/>
      </w:tblGrid>
      <w:tr>
        <w:tc>
          <w:tcPr>
            <w:tcW w:type="dxa" w:w="1118"/>
            <w:shd w:val="clear" w:color="auto" w:fill="D9E2F3"/>
          </w:tcPr>
          <w:p>
            <w:pPr>
              <w:spacing w:line="276" w:lineRule="auto" w:after="40"/>
              <w:jc w:val="left"/>
            </w:pPr>
            <w:r>
              <w:rPr>
                <w:b/>
                <w:sz w:val="21"/>
              </w:rPr>
              <w:t>S.No.</w:t>
            </w:r>
          </w:p>
        </w:tc>
        <w:tc>
          <w:tcPr>
            <w:tcW w:type="dxa" w:w="4286"/>
            <w:shd w:val="clear" w:color="auto" w:fill="D9E2F3"/>
          </w:tcPr>
          <w:p>
            <w:pPr>
              <w:spacing w:line="276" w:lineRule="auto" w:after="40"/>
              <w:jc w:val="left"/>
            </w:pPr>
            <w:r>
              <w:rPr>
                <w:b/>
                <w:sz w:val="21"/>
              </w:rPr>
              <w:t>Student name</w:t>
            </w:r>
          </w:p>
        </w:tc>
        <w:tc>
          <w:tcPr>
            <w:tcW w:type="dxa" w:w="3913"/>
            <w:shd w:val="clear" w:color="auto" w:fill="D9E2F3"/>
          </w:tcPr>
          <w:p>
            <w:pPr>
              <w:spacing w:line="276" w:lineRule="auto" w:after="40"/>
              <w:jc w:val="left"/>
            </w:pPr>
            <w:r>
              <w:rPr>
                <w:b/>
                <w:sz w:val="21"/>
              </w:rPr>
              <w:t>Roll / hall ticket no.</w:t>
            </w:r>
          </w:p>
        </w:tc>
      </w:tr>
      <w:tr>
        <w:tc>
          <w:tcPr>
            <w:tcW w:type="dxa" w:w="1118"/>
          </w:tcPr>
          <w:p>
            <w:pPr>
              <w:spacing w:line="276" w:lineRule="auto" w:after="40"/>
              <w:jc w:val="left"/>
            </w:pPr>
            <w:r>
              <w:rPr>
                <w:sz w:val="21"/>
              </w:rPr>
              <w:t>1</w:t>
            </w:r>
          </w:p>
        </w:tc>
        <w:tc>
          <w:tcPr>
            <w:tcW w:type="dxa" w:w="4286"/>
          </w:tcPr>
          <w:p>
            <w:pPr>
              <w:spacing w:line="276" w:lineRule="auto" w:after="40"/>
              <w:jc w:val="left"/>
            </w:pPr>
            <w:r>
              <w:rPr>
                <w:sz w:val="21"/>
              </w:rPr>
              <w:t>G.SHASHANK</w:t>
            </w:r>
          </w:p>
        </w:tc>
        <w:tc>
          <w:tcPr>
            <w:tcW w:type="dxa" w:w="3913"/>
          </w:tcPr>
          <w:p>
            <w:pPr>
              <w:spacing w:line="276" w:lineRule="auto" w:after="40"/>
              <w:jc w:val="left"/>
            </w:pPr>
            <w:r>
              <w:rPr>
                <w:sz w:val="21"/>
              </w:rPr>
              <w:t>23K91A6761</w:t>
            </w:r>
          </w:p>
        </w:tc>
      </w:tr>
      <w:tr>
        <w:tc>
          <w:tcPr>
            <w:tcW w:type="dxa" w:w="1118"/>
          </w:tcPr>
          <w:p>
            <w:pPr>
              <w:spacing w:line="276" w:lineRule="auto" w:after="40"/>
              <w:jc w:val="left"/>
            </w:pPr>
            <w:r>
              <w:rPr>
                <w:sz w:val="21"/>
              </w:rPr>
              <w:t>2</w:t>
            </w:r>
          </w:p>
        </w:tc>
        <w:tc>
          <w:tcPr>
            <w:tcW w:type="dxa" w:w="4286"/>
          </w:tcPr>
          <w:p>
            <w:pPr>
              <w:spacing w:line="276" w:lineRule="auto" w:after="40"/>
              <w:jc w:val="left"/>
            </w:pPr>
            <w:r>
              <w:rPr>
                <w:sz w:val="21"/>
              </w:rPr>
              <w:t>B.SATHISH</w:t>
            </w:r>
          </w:p>
        </w:tc>
        <w:tc>
          <w:tcPr>
            <w:tcW w:type="dxa" w:w="3913"/>
          </w:tcPr>
          <w:p>
            <w:pPr>
              <w:spacing w:line="276" w:lineRule="auto" w:after="40"/>
              <w:jc w:val="left"/>
            </w:pPr>
            <w:r>
              <w:rPr>
                <w:sz w:val="21"/>
              </w:rPr>
              <w:t>23K91A6719</w:t>
            </w:r>
          </w:p>
        </w:tc>
      </w:tr>
      <w:tr>
        <w:tc>
          <w:tcPr>
            <w:tcW w:type="dxa" w:w="1118"/>
          </w:tcPr>
          <w:p>
            <w:pPr>
              <w:spacing w:line="276" w:lineRule="auto" w:after="40"/>
              <w:jc w:val="left"/>
            </w:pPr>
            <w:r>
              <w:rPr>
                <w:sz w:val="21"/>
              </w:rPr>
              <w:t>3</w:t>
            </w:r>
          </w:p>
        </w:tc>
        <w:tc>
          <w:tcPr>
            <w:tcW w:type="dxa" w:w="4286"/>
          </w:tcPr>
          <w:p>
            <w:pPr>
              <w:spacing w:line="276" w:lineRule="auto" w:after="40"/>
              <w:jc w:val="left"/>
            </w:pPr>
            <w:r>
              <w:rPr>
                <w:sz w:val="21"/>
              </w:rPr>
              <w:t>G.RAKESH</w:t>
            </w:r>
          </w:p>
        </w:tc>
        <w:tc>
          <w:tcPr>
            <w:tcW w:type="dxa" w:w="3913"/>
          </w:tcPr>
          <w:p>
            <w:pPr>
              <w:spacing w:line="276" w:lineRule="auto" w:after="40"/>
              <w:jc w:val="left"/>
            </w:pPr>
            <w:r>
              <w:rPr>
                <w:sz w:val="21"/>
              </w:rPr>
              <w:t>23K91A6759</w:t>
            </w:r>
          </w:p>
        </w:tc>
      </w:tr>
      <w:tr>
        <w:tc>
          <w:tcPr>
            <w:tcW w:type="dxa" w:w="1118"/>
          </w:tcPr>
          <w:p>
            <w:pPr>
              <w:spacing w:line="276" w:lineRule="auto" w:after="40"/>
              <w:jc w:val="left"/>
            </w:pPr>
            <w:r>
              <w:rPr>
                <w:sz w:val="21"/>
              </w:rPr>
              <w:t>4</w:t>
            </w:r>
          </w:p>
        </w:tc>
        <w:tc>
          <w:tcPr>
            <w:tcW w:type="dxa" w:w="4286"/>
          </w:tcPr>
          <w:p>
            <w:pPr>
              <w:spacing w:line="276" w:lineRule="auto" w:after="40"/>
              <w:jc w:val="left"/>
            </w:pPr>
            <w:r>
              <w:rPr>
                <w:sz w:val="21"/>
              </w:rPr>
              <w:t>B.AKHIL</w:t>
            </w:r>
          </w:p>
        </w:tc>
        <w:tc>
          <w:tcPr>
            <w:tcW w:type="dxa" w:w="3913"/>
          </w:tcPr>
          <w:p>
            <w:pPr>
              <w:spacing w:line="276" w:lineRule="auto" w:after="40"/>
              <w:jc w:val="left"/>
            </w:pPr>
            <w:r>
              <w:rPr>
                <w:sz w:val="21"/>
              </w:rPr>
              <w:t>23K91A6721</w:t>
            </w:r>
          </w:p>
        </w:tc>
      </w:tr>
    </w:tbl>
    <w:p>
      <w:pPr>
        <w:spacing w:after="120" w:line="312" w:lineRule="auto"/>
        <w:jc w:val="center"/>
      </w:pPr>
      <w:r>
        <w:rPr>
          <w:sz w:val="22"/>
        </w:rPr>
        <w:t>Under the guidance of: [GUIDE NAME], [DESIGNATION]</w:t>
      </w:r>
    </w:p>
    <w:p>
      <w:pPr>
        <w:spacing w:after="200" w:line="288" w:lineRule="auto" w:before="120"/>
        <w:jc w:val="center"/>
      </w:pPr>
      <w:r>
        <w:rPr>
          <w:b/>
          <w:sz w:val="30"/>
        </w:rPr>
        <w:t>CONCLUSION, FUTURE SCOPE AND REFERENCES</w:t>
      </w:r>
    </w:p>
    <w:p>
      <w:r>
        <w:t>This document concludes the project: what was achieved, the key findings, the known limitations, concrete future work, and the numbered list of references.</w:t>
      </w:r>
    </w:p>
    <w:p>
      <w:pPr>
        <w:pStyle w:val="Heading2"/>
      </w:pPr>
      <w:r>
        <w:t>1  Summary of the Work</w:t>
      </w:r>
    </w:p>
    <w:p>
      <w:r>
        <w:t xml:space="preserve">Machine unlearning promises that a participant's influence can be removed from a trained model on request, and the General Data Protection Regulation's right to erasure [20] is the usual motivation. For federated language models the difficulty is double: the data never leaves the clients, yet each client's influence stays in the shared parameters, and retraining a large model for every request is impractical. The project asked what a </w:t>
      </w:r>
      <w:r>
        <w:rPr>
          <w:i/>
        </w:rPr>
        <w:t>certified and auditable</w:t>
      </w:r>
      <w:r>
        <w:t xml:space="preserve"> removal workflow for such a setting would look like, and answered it with ForgetSafe, a working demonstrator.</w:t>
      </w:r>
    </w:p>
    <w:p>
      <w:r>
        <w:t>ForgetSafe simulates five federated clients, clips each client's update, aggregates the updates with calibrated Gaussian noise into a global character-level language model that stands in for an LLM adapter, and removes a client by subtracting its stored update. Each removal is verified against a retained-only recomputation, evaluated with a loss-based membership-inference attack, measured for retained utility, and written as a certificate and as a SHA-256 hash-chained ledger record. The system is a standard-library Python engine and API, a React web interface, the original single-page interface, a Tkinter window and a command-line demonstration, with 5 unit tests and 14 smoke checks. Four measurement studies on synthetic data produced the evidence of this report: the 50-seed and noise-sweep experiments on the product, a synthetic-corpus study with up to 4,000 clients, a neural study in which eight synthetic clients fine-tune LoRA-style adapters of a 137,151-parameter GRU, and load, security and scripted-acceptance tests of the running system.</w:t>
      </w:r>
    </w:p>
    <w:p>
      <w:pPr>
        <w:pStyle w:val="Heading2"/>
      </w:pPr>
      <w:r>
        <w:t>2  Objectives Achieved</w:t>
      </w:r>
    </w:p>
    <w:p>
      <w:pPr>
        <w:pStyle w:val="TableCaption"/>
      </w:pPr>
      <w:r>
        <w:t>Table 1: Objectives and verdicts</w:t>
      </w:r>
    </w:p>
    <w:tbl>
      <w:tblPr>
        <w:tblStyle w:val="TableGrid"/>
        <w:tblW w:type="auto" w:w="0"/>
        <w:jc w:val="center"/>
        <w:tblLook w:firstColumn="1" w:firstRow="1" w:lastColumn="0" w:lastRow="0" w:noHBand="0" w:noVBand="1" w:val="04A0"/>
      </w:tblPr>
      <w:tblGrid>
        <w:gridCol w:w="3106"/>
        <w:gridCol w:w="3106"/>
        <w:gridCol w:w="3106"/>
      </w:tblGrid>
      <w:tr>
        <w:trPr>
          <w:cantSplit/>
          <w:tblHeader/>
        </w:trPr>
        <w:tc>
          <w:tcPr>
            <w:tcW w:type="dxa" w:w="3354"/>
            <w:shd w:val="clear" w:color="auto" w:fill="D9E2F3"/>
          </w:tcPr>
          <w:p>
            <w:pPr>
              <w:spacing w:line="240" w:lineRule="auto" w:after="40" w:before="40"/>
              <w:jc w:val="left"/>
            </w:pPr>
            <w:r>
              <w:rPr>
                <w:b/>
                <w:sz w:val="19"/>
              </w:rPr>
              <w:t>Objective</w:t>
            </w:r>
          </w:p>
        </w:tc>
        <w:tc>
          <w:tcPr>
            <w:tcW w:type="dxa" w:w="1863"/>
            <w:shd w:val="clear" w:color="auto" w:fill="D9E2F3"/>
          </w:tcPr>
          <w:p>
            <w:pPr>
              <w:spacing w:line="240" w:lineRule="auto" w:after="40" w:before="40"/>
              <w:jc w:val="left"/>
            </w:pPr>
            <w:r>
              <w:rPr>
                <w:b/>
                <w:sz w:val="19"/>
              </w:rPr>
              <w:t>Verdict</w:t>
            </w:r>
          </w:p>
        </w:tc>
        <w:tc>
          <w:tcPr>
            <w:tcW w:type="dxa" w:w="4099"/>
            <w:shd w:val="clear" w:color="auto" w:fill="D9E2F3"/>
          </w:tcPr>
          <w:p>
            <w:pPr>
              <w:spacing w:line="240" w:lineRule="auto" w:after="40" w:before="40"/>
              <w:jc w:val="left"/>
            </w:pPr>
            <w:r>
              <w:rPr>
                <w:b/>
                <w:sz w:val="19"/>
              </w:rPr>
              <w:t>Basis</w:t>
            </w:r>
          </w:p>
        </w:tc>
      </w:tr>
      <w:tr>
        <w:trPr>
          <w:cantSplit/>
        </w:trPr>
        <w:tc>
          <w:tcPr>
            <w:tcW w:type="dxa" w:w="3354"/>
          </w:tcPr>
          <w:p>
            <w:pPr>
              <w:spacing w:line="240" w:lineRule="auto" w:after="40" w:before="40"/>
              <w:jc w:val="left"/>
            </w:pPr>
            <w:r>
              <w:rPr>
                <w:sz w:val="19"/>
              </w:rPr>
              <w:t>1. Federated fine-tuning of an LLM across clients</w:t>
            </w:r>
          </w:p>
        </w:tc>
        <w:tc>
          <w:tcPr>
            <w:tcW w:type="dxa" w:w="1863"/>
          </w:tcPr>
          <w:p>
            <w:pPr>
              <w:spacing w:line="240" w:lineRule="auto" w:after="40" w:before="40"/>
              <w:jc w:val="left"/>
            </w:pPr>
            <w:r>
              <w:rPr>
                <w:sz w:val="19"/>
              </w:rPr>
              <w:t>Met at small scale</w:t>
            </w:r>
          </w:p>
        </w:tc>
        <w:tc>
          <w:tcPr>
            <w:tcW w:type="dxa" w:w="4099"/>
          </w:tcPr>
          <w:p>
            <w:pPr>
              <w:spacing w:line="240" w:lineRule="auto" w:after="40" w:before="40"/>
              <w:jc w:val="left"/>
            </w:pPr>
            <w:r>
              <w:rPr>
                <w:sz w:val="19"/>
              </w:rPr>
              <w:t>5 bigram clients; 8 synthetic clients fine-tuning LoRA-style adapters of a 137,151-parameter GRU; pretrained billion-parameter LLMs are outside the scope</w:t>
            </w:r>
          </w:p>
        </w:tc>
      </w:tr>
      <w:tr>
        <w:trPr>
          <w:cantSplit/>
        </w:trPr>
        <w:tc>
          <w:tcPr>
            <w:tcW w:type="dxa" w:w="3354"/>
          </w:tcPr>
          <w:p>
            <w:pPr>
              <w:spacing w:line="240" w:lineRule="auto" w:after="40" w:before="40"/>
              <w:jc w:val="left"/>
            </w:pPr>
            <w:r>
              <w:rPr>
                <w:sz w:val="19"/>
              </w:rPr>
              <w:t>2. Parameter-level unlearning without full retraining</w:t>
            </w:r>
          </w:p>
        </w:tc>
        <w:tc>
          <w:tcPr>
            <w:tcW w:type="dxa" w:w="1863"/>
          </w:tcPr>
          <w:p>
            <w:pPr>
              <w:spacing w:line="240" w:lineRule="auto" w:after="40" w:before="40"/>
              <w:jc w:val="left"/>
            </w:pPr>
            <w:r>
              <w:rPr>
                <w:sz w:val="19"/>
              </w:rPr>
              <w:t>Met</w:t>
            </w:r>
          </w:p>
        </w:tc>
        <w:tc>
          <w:tcPr>
            <w:tcW w:type="dxa" w:w="4099"/>
          </w:tcPr>
          <w:p>
            <w:pPr>
              <w:spacing w:line="240" w:lineRule="auto" w:after="40" w:before="40"/>
              <w:jc w:val="left"/>
            </w:pPr>
            <w:r>
              <w:rPr>
                <w:sz w:val="19"/>
              </w:rPr>
              <w:t>exact subtraction in both models; 250/250 bigram requests; neural removal 24 µs against 5.9 s of retraining</w:t>
            </w:r>
          </w:p>
        </w:tc>
      </w:tr>
      <w:tr>
        <w:trPr>
          <w:cantSplit/>
        </w:trPr>
        <w:tc>
          <w:tcPr>
            <w:tcW w:type="dxa" w:w="3354"/>
          </w:tcPr>
          <w:p>
            <w:pPr>
              <w:spacing w:line="240" w:lineRule="auto" w:after="40" w:before="40"/>
              <w:jc w:val="left"/>
            </w:pPr>
            <w:r>
              <w:rPr>
                <w:sz w:val="19"/>
              </w:rPr>
              <w:t>3. Certification with differential-privacy guarantees</w:t>
            </w:r>
          </w:p>
        </w:tc>
        <w:tc>
          <w:tcPr>
            <w:tcW w:type="dxa" w:w="1863"/>
          </w:tcPr>
          <w:p>
            <w:pPr>
              <w:spacing w:line="240" w:lineRule="auto" w:after="40" w:before="40"/>
              <w:jc w:val="left"/>
            </w:pPr>
            <w:r>
              <w:rPr>
                <w:sz w:val="19"/>
              </w:rPr>
              <w:t>Met as reported, with conditions</w:t>
            </w:r>
          </w:p>
        </w:tc>
        <w:tc>
          <w:tcPr>
            <w:tcW w:type="dxa" w:w="4099"/>
          </w:tcPr>
          <w:p>
            <w:pPr>
              <w:spacing w:line="240" w:lineRule="auto" w:after="40" w:before="40"/>
              <w:jc w:val="left"/>
            </w:pPr>
            <w:r>
              <w:rPr>
                <w:sz w:val="19"/>
              </w:rPr>
              <w:t>ε and δ reported; outside the classical range at σ = 3; ε &lt; 1 with a useful model from about 1,000 clients; noise reused, no accountant</w:t>
            </w:r>
          </w:p>
        </w:tc>
      </w:tr>
      <w:tr>
        <w:trPr>
          <w:cantSplit/>
        </w:trPr>
        <w:tc>
          <w:tcPr>
            <w:tcW w:type="dxa" w:w="3354"/>
          </w:tcPr>
          <w:p>
            <w:pPr>
              <w:spacing w:line="240" w:lineRule="auto" w:after="40" w:before="40"/>
              <w:jc w:val="left"/>
            </w:pPr>
            <w:r>
              <w:rPr>
                <w:sz w:val="19"/>
              </w:rPr>
              <w:t>4. Verification by membership inference and comparison with retraining</w:t>
            </w:r>
          </w:p>
        </w:tc>
        <w:tc>
          <w:tcPr>
            <w:tcW w:type="dxa" w:w="1863"/>
          </w:tcPr>
          <w:p>
            <w:pPr>
              <w:spacing w:line="240" w:lineRule="auto" w:after="40" w:before="40"/>
              <w:jc w:val="left"/>
            </w:pPr>
            <w:r>
              <w:rPr>
                <w:sz w:val="19"/>
              </w:rPr>
              <w:t>Met</w:t>
            </w:r>
          </w:p>
        </w:tc>
        <w:tc>
          <w:tcPr>
            <w:tcW w:type="dxa" w:w="4099"/>
          </w:tcPr>
          <w:p>
            <w:pPr>
              <w:spacing w:line="240" w:lineRule="auto" w:after="40" w:before="40"/>
              <w:jc w:val="left"/>
            </w:pPr>
            <w:r>
              <w:rPr>
                <w:sz w:val="19"/>
              </w:rPr>
              <w:t>run on every request; fresh-noise retraining comparison agrees on three models; the attack is informative where leakage exists</w:t>
            </w:r>
          </w:p>
        </w:tc>
      </w:tr>
      <w:tr>
        <w:trPr>
          <w:cantSplit/>
        </w:trPr>
        <w:tc>
          <w:tcPr>
            <w:tcW w:type="dxa" w:w="3354"/>
          </w:tcPr>
          <w:p>
            <w:pPr>
              <w:spacing w:line="240" w:lineRule="auto" w:after="40" w:before="40"/>
              <w:jc w:val="left"/>
            </w:pPr>
            <w:r>
              <w:rPr>
                <w:sz w:val="19"/>
              </w:rPr>
              <w:t>5. Utility preserved on the remaining data</w:t>
            </w:r>
          </w:p>
        </w:tc>
        <w:tc>
          <w:tcPr>
            <w:tcW w:type="dxa" w:w="1863"/>
          </w:tcPr>
          <w:p>
            <w:pPr>
              <w:spacing w:line="240" w:lineRule="auto" w:after="40" w:before="40"/>
              <w:jc w:val="left"/>
            </w:pPr>
            <w:r>
              <w:rPr>
                <w:sz w:val="19"/>
              </w:rPr>
              <w:t>Met, with the measured noise limits</w:t>
            </w:r>
          </w:p>
        </w:tc>
        <w:tc>
          <w:tcPr>
            <w:tcW w:type="dxa" w:w="4099"/>
          </w:tcPr>
          <w:p>
            <w:pPr>
              <w:spacing w:line="240" w:lineRule="auto" w:after="40" w:before="40"/>
              <w:jc w:val="left"/>
            </w:pPr>
            <w:r>
              <w:rPr>
                <w:sz w:val="19"/>
              </w:rPr>
              <w:t>mean retention 97.1 % (bigram), 99.9 % at σ ≤ 0.01 and 59 % at σ = 0.1 (neural)</w:t>
            </w:r>
          </w:p>
        </w:tc>
      </w:tr>
      <w:tr>
        <w:trPr>
          <w:cantSplit/>
        </w:trPr>
        <w:tc>
          <w:tcPr>
            <w:tcW w:type="dxa" w:w="3354"/>
          </w:tcPr>
          <w:p>
            <w:pPr>
              <w:spacing w:line="240" w:lineRule="auto" w:after="40" w:before="40"/>
              <w:jc w:val="left"/>
            </w:pPr>
            <w:r>
              <w:rPr>
                <w:sz w:val="19"/>
              </w:rPr>
              <w:t>6. Auditable compliance record per request</w:t>
            </w:r>
          </w:p>
        </w:tc>
        <w:tc>
          <w:tcPr>
            <w:tcW w:type="dxa" w:w="1863"/>
          </w:tcPr>
          <w:p>
            <w:pPr>
              <w:spacing w:line="240" w:lineRule="auto" w:after="40" w:before="40"/>
              <w:jc w:val="left"/>
            </w:pPr>
            <w:r>
              <w:rPr>
                <w:sz w:val="19"/>
              </w:rPr>
              <w:t>Met with measured defects</w:t>
            </w:r>
          </w:p>
        </w:tc>
        <w:tc>
          <w:tcPr>
            <w:tcW w:type="dxa" w:w="4099"/>
          </w:tcPr>
          <w:p>
            <w:pPr>
              <w:spacing w:line="240" w:lineRule="auto" w:after="40" w:before="40"/>
              <w:jc w:val="left"/>
            </w:pPr>
            <w:r>
              <w:rPr>
                <w:sz w:val="19"/>
              </w:rPr>
              <w:t>every event hash-chained and linked to its certificate; truncation, re-hash forgery and an emptied file undetected</w:t>
            </w:r>
          </w:p>
        </w:tc>
      </w:tr>
    </w:tbl>
    <w:p>
      <w:pPr>
        <w:spacing w:after="80" w:line="144" w:lineRule="auto"/>
      </w:pPr>
    </w:p>
    <w:p>
      <w:r>
        <w:t>All six objectives are met within the stated scale. Two carry measured conditions that the report turns into engineering items: the privacy guarantee (objective 3) holds in the useful regime only for large federations, and the audit record (objective 6) needs signatures and an external anchor.</w:t>
      </w:r>
    </w:p>
    <w:p>
      <w:pPr>
        <w:pStyle w:val="Heading2"/>
      </w:pPr>
      <w:r>
        <w:t>3  Key Findings</w:t>
      </w:r>
    </w:p>
    <w:p>
      <w:pPr>
        <w:tabs>
          <w:tab w:pos="576" w:val="left"/>
        </w:tabs>
        <w:spacing w:after="40"/>
        <w:ind w:left="576" w:hanging="432"/>
      </w:pPr>
      <w:r>
        <w:t>1.</w:t>
        <w:tab/>
      </w:r>
      <w:r>
        <w:rPr>
          <w:b/>
        </w:rPr>
        <w:t>At five clients and the default noise the model is dominated by noise and there is nothing to remove.</w:t>
      </w:r>
      <w:r>
        <w:t xml:space="preserve"> Perplexity is 142 ± 28 over 50 seeds against 32 for a uniform model, and the membership attack is at chance before removal (AUC 0.52) and after (0.50).</w:t>
      </w:r>
    </w:p>
    <w:p>
      <w:pPr>
        <w:tabs>
          <w:tab w:pos="576" w:val="left"/>
        </w:tabs>
        <w:spacing w:after="40"/>
        <w:ind w:left="576" w:hanging="432"/>
      </w:pPr>
      <w:r>
        <w:t>2.</w:t>
        <w:tab/>
      </w:r>
      <w:r>
        <w:rPr>
          <w:b/>
        </w:rPr>
        <w:t>The removal itself is real.</w:t>
      </w:r>
      <w:r>
        <w:t xml:space="preserve"> With the noise switched off the attack falls from 0.992 to 0.544 (bigram), from 0.474 to 0.220 at domain level on the synthetic corpus, and from 0.78 to 0.53 on neural adapters, where a fresh retrain gives 0.53.</w:t>
      </w:r>
    </w:p>
    <w:p>
      <w:pPr>
        <w:tabs>
          <w:tab w:pos="576" w:val="left"/>
        </w:tabs>
        <w:spacing w:after="40"/>
        <w:ind w:left="576" w:hanging="432"/>
      </w:pPr>
      <w:r>
        <w:t>3.</w:t>
        <w:tab/>
      </w:r>
      <w:r>
        <w:rPr>
          <w:b/>
        </w:rPr>
        <w:t>The shipped certificate is an identity, not an independent proof; the independent check agrees.</w:t>
      </w:r>
      <w:r>
        <w:t xml:space="preserve"> The reference reuses the stored noise and updates, so its distance (about 1e-14) cannot fail. Compared with retraining on fresh noise, the unlearned model is as far from a retrain as two retrains are from each other: 875 against 881 (bigram), 645 against 650 (synthetic corpus), 31.8 against 31.8 (neural).</w:t>
      </w:r>
    </w:p>
    <w:p>
      <w:pPr>
        <w:tabs>
          <w:tab w:pos="576" w:val="left"/>
        </w:tabs>
        <w:spacing w:after="40"/>
        <w:ind w:left="576" w:hanging="432"/>
      </w:pPr>
      <w:r>
        <w:t>4.</w:t>
        <w:tab/>
      </w:r>
      <w:r>
        <w:rPr>
          <w:b/>
        </w:rPr>
        <w:t>Privacy and utility meet only in large federations.</w:t>
      </w:r>
      <w:r>
        <w:t xml:space="preserve"> With five or eight clients ε &lt; 1 needs σ &gt; 4.84 and the model is destroyed; on the synthetic corpus the released model is within 1.2 times the noise-free perplexity at ε = 0.999 from about 1,000 clients. The product's clip norm C = 25 is about 50 times too small for 200-sentence clients.</w:t>
      </w:r>
    </w:p>
    <w:p>
      <w:pPr>
        <w:tabs>
          <w:tab w:pos="576" w:val="left"/>
        </w:tabs>
        <w:spacing w:after="40"/>
        <w:ind w:left="576" w:hanging="432"/>
      </w:pPr>
      <w:r>
        <w:t>5.</w:t>
        <w:tab/>
      </w:r>
      <w:r>
        <w:rPr>
          <w:b/>
        </w:rPr>
        <w:t>Reusing the noise has a measurable consequence.</w:t>
      </w:r>
      <w:r>
        <w:t xml:space="preserve"> With the same noise in both releases, n·θ − (n−1)·θ′ recovers the removed client's clipped update to 1.3e-13, and the printed ε is a training-time figure; the exact analytic Gaussian calibration gives ε = 1.271 at σ = 3 (reported 1.615) but 9.997 at σ = 0.5 (reported 9.690).</w:t>
      </w:r>
    </w:p>
    <w:p>
      <w:pPr>
        <w:tabs>
          <w:tab w:pos="576" w:val="left"/>
        </w:tabs>
        <w:spacing w:after="40"/>
        <w:ind w:left="576" w:hanging="432"/>
      </w:pPr>
      <w:r>
        <w:t>6.</w:t>
        <w:tab/>
      </w:r>
      <w:r>
        <w:rPr>
          <w:b/>
        </w:rPr>
        <w:t>The audit ledger catches careless tampering only.</w:t>
      </w:r>
      <w:r>
        <w:t xml:space="preserve"> Edits, deletions and swaps are detected; tail truncation, a full re-hash forgery, an appended forged record and an emptied file are not, and one corrupt line stops the interface from loading.</w:t>
      </w:r>
    </w:p>
    <w:p>
      <w:pPr>
        <w:tabs>
          <w:tab w:pos="576" w:val="left"/>
        </w:tabs>
        <w:spacing w:after="40"/>
        <w:ind w:left="576" w:hanging="432"/>
      </w:pPr>
      <w:r>
        <w:t>7.</w:t>
        <w:tab/>
      </w:r>
      <w:r>
        <w:rPr>
          <w:b/>
        </w:rPr>
        <w:t>The server is correct under concurrency and weak at its edges.</w:t>
      </w:r>
      <w:r>
        <w:t xml:space="preserve"> 32 simultaneous removals of one client gave exactly one HTTP 200; 16 simultaneous trainings gave 16 valid ledger records; a 2,000-request soak had 0 errors. Of 58 security probes 8 found defects (no authentication, cross-site POST, missing read timeout, bursts of connections refused), each with a fix in Chapter 10.</w:t>
      </w:r>
    </w:p>
    <w:p>
      <w:pPr>
        <w:tabs>
          <w:tab w:pos="576" w:val="left"/>
        </w:tabs>
        <w:spacing w:after="40"/>
        <w:ind w:left="576" w:hanging="432"/>
      </w:pPr>
      <w:r>
        <w:t>8.</w:t>
        <w:tab/>
      </w:r>
      <w:r>
        <w:rPr>
          <w:b/>
        </w:rPr>
        <w:t>Removal is cheap where retraining is not.</w:t>
      </w:r>
      <w:r>
        <w:t xml:space="preserve"> Subtracting a neural adapter takes 24 microseconds against 5.9 s to retrain seven adapters; on the bigram proxy unlearning is 6.8 times faster than retraining at 500 clients and slower below about 100, because of its fixed metric and ledger cost.</w:t>
      </w:r>
    </w:p>
    <w:p>
      <w:pPr>
        <w:tabs>
          <w:tab w:pos="576" w:val="left"/>
        </w:tabs>
        <w:spacing w:after="40"/>
        <w:ind w:left="576" w:hanging="432"/>
      </w:pPr>
      <w:r>
        <w:t>9.</w:t>
        <w:tab/>
      </w:r>
      <w:r>
        <w:rPr>
          <w:b/>
        </w:rPr>
        <w:t>The interface is stable.</w:t>
      </w:r>
      <w:r>
        <w:t xml:space="preserve"> 20 of 20 scripted synthetic-user journeys passed every step (49 certificates, no console errors) across desktop and phone layouts and both themes.</w:t>
      </w:r>
    </w:p>
    <w:p>
      <w:pPr>
        <w:keepNext/>
        <w:spacing w:before="120" w:line="240" w:lineRule="auto"/>
        <w:jc w:val="center"/>
      </w:pPr>
      <w:r>
        <w:drawing>
          <wp:inline xmlns:a="http://schemas.openxmlformats.org/drawingml/2006/main" xmlns:pic="http://schemas.openxmlformats.org/drawingml/2006/picture">
            <wp:extent cx="4206240" cy="2397760"/>
            <wp:docPr id="1" name="Picture 1"/>
            <wp:cNvGraphicFramePr>
              <a:graphicFrameLocks noChangeAspect="1"/>
            </wp:cNvGraphicFramePr>
            <a:graphic>
              <a:graphicData uri="http://schemas.openxmlformats.org/drawingml/2006/picture">
                <pic:pic>
                  <pic:nvPicPr>
                    <pic:cNvPr id="0" name="c06_noise_free_auc.png"/>
                    <pic:cNvPicPr/>
                  </pic:nvPicPr>
                  <pic:blipFill>
                    <a:blip r:embed="rId11"/>
                    <a:stretch>
                      <a:fillRect/>
                    </a:stretch>
                  </pic:blipFill>
                  <pic:spPr>
                    <a:xfrm>
                      <a:off x="0" y="0"/>
                      <a:ext cx="4206240" cy="2397760"/>
                    </a:xfrm>
                    <a:prstGeom prst="rect"/>
                  </pic:spPr>
                </pic:pic>
              </a:graphicData>
            </a:graphic>
          </wp:inline>
        </w:drawing>
      </w:r>
    </w:p>
    <w:p>
      <w:pPr>
        <w:pStyle w:val="FigureCaption"/>
      </w:pPr>
      <w:r>
        <w:t>Fig. 1: Membership AUC before and after removal when no noise is added (sigma = 1e-6): the removal is real, and the default noise is what hides the leakage</w:t>
      </w:r>
    </w:p>
    <w:p>
      <w:pPr>
        <w:pStyle w:val="Heading2"/>
      </w:pPr>
      <w:r>
        <w:t>4  Practical Applications</w:t>
      </w:r>
    </w:p>
    <w:p>
      <w:r>
        <w:t>ForgetSafe is not a compliance product and does not claim that any real model has been formally erased. Within that boundary it has three practical uses.</w:t>
      </w:r>
    </w:p>
    <w:p>
      <w:pPr>
        <w:pStyle w:val="ListBullet"/>
        <w:spacing w:after="40"/>
      </w:pPr>
      <w:r>
        <w:rPr>
          <w:b/>
        </w:rPr>
        <w:t>A teaching and demonstration tool</w:t>
      </w:r>
      <w:r>
        <w:t xml:space="preserve"> for federated learning, differential privacy, membership inference and tamper-evident logging, with every step visible in a browser and reproducible offline.</w:t>
      </w:r>
    </w:p>
    <w:p>
      <w:pPr>
        <w:pStyle w:val="ListBullet"/>
        <w:spacing w:after="40"/>
      </w:pPr>
      <w:r>
        <w:rPr>
          <w:b/>
        </w:rPr>
        <w:t>A reference workflow and certificate schema.</w:t>
      </w:r>
      <w:r>
        <w:t xml:space="preserve"> The order of operations (train, track, subtract, verify, certify, record) and the 25 fields of the certificate can be reused when the proxy model is replaced by a real adapter.</w:t>
      </w:r>
    </w:p>
    <w:p>
      <w:pPr>
        <w:pStyle w:val="ListBullet"/>
        <w:spacing w:after="40"/>
      </w:pPr>
      <w:r>
        <w:rPr>
          <w:b/>
        </w:rPr>
        <w:t>A harness for checking unlearning claims.</w:t>
      </w:r>
      <w:r>
        <w:t xml:space="preserve"> The fresh-noise comparison and the noise-free attack are small, general checks that expose a certificate which cannot fail; they can be pointed at other unlearning implementations.</w:t>
      </w:r>
    </w:p>
    <w:p>
      <w:pPr>
        <w:pStyle w:val="Heading2"/>
      </w:pPr>
      <w:r>
        <w:t>5  Known Limitations</w:t>
      </w:r>
    </w:p>
    <w:p>
      <w:r>
        <w:t>The weaknesses below were measured, not assumed; each has an engineering item in Chapter 10.</w:t>
      </w:r>
    </w:p>
    <w:p>
      <w:pPr>
        <w:pStyle w:val="ListBullet"/>
        <w:spacing w:after="40"/>
      </w:pPr>
      <w:r>
        <w:t>The certificate's reference shares noise and updates with the unlearned model and cannot fail; ε is the training-time value, outside its proven range at σ = 3, with no accountant.</w:t>
      </w:r>
    </w:p>
    <w:p>
      <w:pPr>
        <w:pStyle w:val="ListBullet"/>
        <w:spacing w:after="40"/>
      </w:pPr>
      <w:r>
        <w:t>At the default five-client configuration the model is noise-dominated and the membership attack is uninformative; the useful, private regime needs about 1,000 clients.</w:t>
      </w:r>
    </w:p>
    <w:p>
      <w:pPr>
        <w:pStyle w:val="ListBullet"/>
        <w:spacing w:after="40"/>
      </w:pPr>
      <w:r>
        <w:t>The audit ledger has no signature or external anchor, verifies when emptied, re-reads the whole file on every append and on every state call, and stops the interface when one line is corrupt.</w:t>
      </w:r>
    </w:p>
    <w:p>
      <w:pPr>
        <w:pStyle w:val="ListBullet"/>
        <w:spacing w:after="40"/>
      </w:pPr>
      <w:r>
        <w:t>The API has no authentication and one shared engine; the 58 security probes found eight defects (Content-Length handling, read timeouts, cross-site POST, Host check, connection bursts, two ledger-file cases, no authentication).</w:t>
      </w:r>
    </w:p>
    <w:p>
      <w:pPr>
        <w:pStyle w:val="ListBullet"/>
        <w:spacing w:after="40"/>
      </w:pPr>
      <w:r>
        <w:rPr>
          <w:b/>
        </w:rPr>
        <w:t>Boundaries of the evidence:</w:t>
      </w:r>
      <w:r>
        <w:t xml:space="preserve"> the neural study is a 137,151-parameter GRU with 8 synthetic clients and one aggregation round, not a billion-parameter LLM; every corpus is synthetic; interface acceptance is scripted, not human; timings come from one CPU workstation.</w:t>
      </w:r>
    </w:p>
    <w:p>
      <w:pPr>
        <w:pStyle w:val="ListBullet"/>
        <w:spacing w:after="40"/>
      </w:pPr>
      <w:r>
        <w:t>Three of the five papers in the batch literature survey could not be retrieved; they are listed without claims about their contents.</w:t>
      </w:r>
    </w:p>
    <w:p>
      <w:pPr>
        <w:pStyle w:val="Heading2"/>
      </w:pPr>
      <w:r>
        <w:t>6  Future Scope</w:t>
      </w:r>
    </w:p>
    <w:p>
      <w:r>
        <w:t>The items below follow from the limitations and from the gaps found in the literature survey.</w:t>
      </w:r>
    </w:p>
    <w:p>
      <w:pPr>
        <w:pStyle w:val="Heading2"/>
      </w:pPr>
      <w:r>
        <w:t>7  Improvements to the Existing System</w:t>
      </w:r>
    </w:p>
    <w:p>
      <w:pPr>
        <w:tabs>
          <w:tab w:pos="576" w:val="left"/>
        </w:tabs>
        <w:spacing w:after="40"/>
        <w:ind w:left="576" w:hanging="432"/>
      </w:pPr>
      <w:r>
        <w:t>1.</w:t>
        <w:tab/>
      </w:r>
      <w:r>
        <w:rPr>
          <w:b/>
        </w:rPr>
        <w:t>Fresh noise at every release and a privacy accountant.</w:t>
      </w:r>
      <w:r>
        <w:t xml:space="preserve"> Draw new noise per release, track Rényi or zero-concentrated DP across training and removals, and use the analytic Gaussian calibration [19] (ε = 1.271 instead of 1.615 at σ = 3). The same-noise identity then disappears, so the certificate must adopt the check below.</w:t>
      </w:r>
    </w:p>
    <w:p>
      <w:pPr>
        <w:tabs>
          <w:tab w:pos="576" w:val="left"/>
        </w:tabs>
        <w:spacing w:after="40"/>
        <w:ind w:left="576" w:hanging="432"/>
      </w:pPr>
      <w:r>
        <w:t>2.</w:t>
        <w:tab/>
      </w:r>
      <w:r>
        <w:rPr>
          <w:b/>
        </w:rPr>
        <w:t>Make the certificate able to fail, with a sensible clip norm.</w:t>
      </w:r>
      <w:r>
        <w:t xml:space="preserve"> Compare the unlearned model with retraining on fresh noise and run the noise-free attack, with a stated statistical test, and choose C from the median raw update norm (the default C = 25 shrinks 200-sentence updates about 50 times).</w:t>
      </w:r>
    </w:p>
    <w:p>
      <w:pPr>
        <w:tabs>
          <w:tab w:pos="576" w:val="left"/>
        </w:tabs>
        <w:spacing w:after="40"/>
        <w:ind w:left="576" w:hanging="432"/>
      </w:pPr>
      <w:r>
        <w:t>3.</w:t>
        <w:tab/>
      </w:r>
      <w:r>
        <w:rPr>
          <w:b/>
        </w:rPr>
        <w:t>Sign and anchor the ledger.</w:t>
      </w:r>
      <w:r>
        <w:t xml:space="preserve"> Sign each record, publish the head hash and the record count to an external witness, quarantine corrupt lines instead of failing, read only the tail on append and cache the chain verification (</w:t>
      </w:r>
      <w:r>
        <w:rPr>
          <w:rFonts w:ascii="Courier New" w:hAnsi="Courier New" w:cs="Courier New" w:eastAsia="Courier New"/>
          <w:sz w:val="21"/>
        </w:rPr>
        <w:t>/api/state</w:t>
      </w:r>
      <w:r>
        <w:t xml:space="preserve"> saturates near 80 requests per second).</w:t>
      </w:r>
    </w:p>
    <w:p>
      <w:pPr>
        <w:tabs>
          <w:tab w:pos="576" w:val="left"/>
        </w:tabs>
        <w:spacing w:after="40"/>
        <w:ind w:left="576" w:hanging="432"/>
      </w:pPr>
      <w:r>
        <w:t>4.</w:t>
        <w:tab/>
      </w:r>
      <w:r>
        <w:rPr>
          <w:b/>
        </w:rPr>
        <w:t>Harden the HTTP layer.</w:t>
      </w:r>
      <w:r>
        <w:t xml:space="preserve"> Reject negative Content-Length, set socket read timeouts, return JSON 413 and 405, require a JSON content type, check Origin and Host and add a request token, add security headers, and run behind a production server with a larger accept queue.</w:t>
      </w:r>
    </w:p>
    <w:p>
      <w:pPr>
        <w:tabs>
          <w:tab w:pos="576" w:val="left"/>
        </w:tabs>
        <w:spacing w:after="40"/>
        <w:ind w:left="576" w:hanging="432"/>
      </w:pPr>
      <w:r>
        <w:t>5.</w:t>
        <w:tab/>
      </w:r>
      <w:r>
        <w:rPr>
          <w:b/>
        </w:rPr>
        <w:t>Authentication and roles</w:t>
      </w:r>
      <w:r>
        <w:t xml:space="preserve"> with an approval step before a removal.</w:t>
      </w:r>
    </w:p>
    <w:p>
      <w:pPr>
        <w:tabs>
          <w:tab w:pos="576" w:val="left"/>
        </w:tabs>
        <w:spacing w:after="40"/>
        <w:ind w:left="576" w:hanging="432"/>
      </w:pPr>
      <w:r>
        <w:t>6.</w:t>
        <w:tab/>
      </w:r>
      <w:r>
        <w:rPr>
          <w:b/>
        </w:rPr>
        <w:t>Strengthen the attack.</w:t>
      </w:r>
      <w:r>
        <w:t xml:space="preserve"> Many more member and non-member records, calibrated thresholds, shadow-model or likelihood-ratio attacks [15][16], and AUC with confidence intervals.</w:t>
      </w:r>
    </w:p>
    <w:p>
      <w:pPr>
        <w:pStyle w:val="Heading2"/>
      </w:pPr>
      <w:r>
        <w:t>8  Additional Features</w:t>
      </w:r>
    </w:p>
    <w:p>
      <w:pPr>
        <w:pStyle w:val="ListBullet"/>
        <w:spacing w:after="40"/>
      </w:pPr>
      <w:r>
        <w:t>A request queue and batch removal of several clients, with the ledger recording request, approval and completion times.</w:t>
      </w:r>
    </w:p>
    <w:p>
      <w:pPr>
        <w:pStyle w:val="ListBullet"/>
        <w:spacing w:after="40"/>
      </w:pPr>
      <w:r>
        <w:t>Printable or signed certificates (PDF or JSON-LD) and a public verification page that re-checks a certificate against the ledger.</w:t>
      </w:r>
    </w:p>
    <w:p>
      <w:pPr>
        <w:pStyle w:val="ListBullet"/>
        <w:spacing w:after="40"/>
      </w:pPr>
      <w:r>
        <w:t>Sample-level and label-level unlearning in addition to client-level removal, as treated in [4].</w:t>
      </w:r>
    </w:p>
    <w:p>
      <w:pPr>
        <w:pStyle w:val="ListBullet"/>
        <w:spacing w:after="40"/>
      </w:pPr>
      <w:r>
        <w:t>Multiple training rounds with per-round update storage, so that removal can be studied for iterative FedAvg [9].</w:t>
      </w:r>
    </w:p>
    <w:p>
      <w:pPr>
        <w:pStyle w:val="ListBullet"/>
        <w:spacing w:after="40"/>
      </w:pPr>
      <w:r>
        <w:t>A built-in run of the fresh-noise comparison and the noise-free attack, so that the interface shows the independent evidence next to each certificate.</w:t>
      </w:r>
    </w:p>
    <w:p>
      <w:pPr>
        <w:pStyle w:val="Heading2"/>
      </w:pPr>
      <w:r>
        <w:t>9  Scalability and Deployment</w:t>
      </w:r>
    </w:p>
    <w:p>
      <w:pPr>
        <w:pStyle w:val="ListBullet"/>
        <w:spacing w:after="40"/>
      </w:pPr>
      <w:r>
        <w:t xml:space="preserve">Run the API under an ASGI or WSGI server behind a reverse proxy with TLS, in a container image with </w:t>
      </w:r>
      <w:r>
        <w:rPr>
          <w:rFonts w:ascii="Courier New" w:hAnsi="Courier New" w:cs="Courier New" w:eastAsia="Courier New"/>
          <w:sz w:val="21"/>
        </w:rPr>
        <w:t>.env</w:t>
      </w:r>
      <w:r>
        <w:t>-based configuration.</w:t>
      </w:r>
    </w:p>
    <w:p>
      <w:pPr>
        <w:pStyle w:val="ListBullet"/>
        <w:spacing w:after="40"/>
      </w:pPr>
      <w:r>
        <w:t>Replace the in-memory engine by per-tenant sessions backed by a database, and the JSONL file by an append-only store with signed batches.</w:t>
      </w:r>
    </w:p>
    <w:p>
      <w:pPr>
        <w:pStyle w:val="ListBullet"/>
        <w:spacing w:after="40"/>
      </w:pPr>
      <w:r>
        <w:t>Encrypt the stored clipped updates at rest, restrict their access and define a retention policy; they are the artefact that makes removal possible and are sensitive.</w:t>
      </w:r>
    </w:p>
    <w:p>
      <w:pPr>
        <w:pStyle w:val="ListBullet"/>
        <w:spacing w:after="40"/>
      </w:pPr>
      <w:r>
        <w:t>Add secure aggregation so that the coordinator never sees an individual update in the clear, and study how per-client subtraction can be supported with it; federations of thousands of clients, the regime in which ε &lt; 1 and a useful model coexist, need it.</w:t>
      </w:r>
    </w:p>
    <w:p>
      <w:pPr>
        <w:pStyle w:val="ListBullet"/>
        <w:spacing w:after="40"/>
      </w:pPr>
      <w:r>
        <w:t>Index ledger reads and add monitoring of request latency and ledger length, so that the service scales beyond the measured 80 state reads per second.</w:t>
      </w:r>
    </w:p>
    <w:p>
      <w:pPr>
        <w:pStyle w:val="Heading2"/>
      </w:pPr>
      <w:r>
        <w:t>10  Further Research</w:t>
      </w:r>
    </w:p>
    <w:p>
      <w:pPr>
        <w:tabs>
          <w:tab w:pos="576" w:val="left"/>
        </w:tabs>
        <w:spacing w:after="40"/>
        <w:ind w:left="576" w:hanging="432"/>
      </w:pPr>
      <w:r>
        <w:t>1.</w:t>
        <w:tab/>
      </w:r>
      <w:r>
        <w:rPr>
          <w:b/>
        </w:rPr>
        <w:t>Real federated LLM adapters.</w:t>
      </w:r>
      <w:r>
        <w:t xml:space="preserve"> Repeat the neural study with LoRA adapters [22] on a pretrained small Hugging Face language model, with Flower for federation and Opacus for accounted DP-SGD; the GRU study of this project provides the protocol (sweep, fresh-noise comparison, attacks, cost).</w:t>
      </w:r>
    </w:p>
    <w:p>
      <w:pPr>
        <w:tabs>
          <w:tab w:pos="576" w:val="left"/>
        </w:tabs>
        <w:spacing w:after="40"/>
        <w:ind w:left="576" w:hanging="432"/>
      </w:pPr>
      <w:r>
        <w:t>2.</w:t>
        <w:tab/>
      </w:r>
      <w:r>
        <w:rPr>
          <w:b/>
        </w:rPr>
        <w:t>Benchmarks with forget-quality metrics.</w:t>
      </w:r>
      <w:r>
        <w:t xml:space="preserve"> Evaluate on TOFU- and MUSE-style benchmarks and compare with the algorithms studied in [3] (gradient ascent, gradient difference, NPO, SimNPO and retraining).</w:t>
      </w:r>
    </w:p>
    <w:p>
      <w:pPr>
        <w:tabs>
          <w:tab w:pos="576" w:val="left"/>
        </w:tabs>
        <w:spacing w:after="40"/>
        <w:ind w:left="576" w:hanging="432"/>
      </w:pPr>
      <w:r>
        <w:t>3.</w:t>
        <w:tab/>
      </w:r>
      <w:r>
        <w:rPr>
          <w:b/>
        </w:rPr>
        <w:t>Baselines from the literature.</w:t>
      </w:r>
      <w:r>
        <w:t xml:space="preserve"> Implement sharded retraining [12], FedEraser-style calibration [17], certified removal [13][14] and pruning-based unlearning [2] behind the same certificate interface and compare cost, utility and verification evidence.</w:t>
      </w:r>
    </w:p>
    <w:p>
      <w:pPr>
        <w:tabs>
          <w:tab w:pos="576" w:val="left"/>
        </w:tabs>
        <w:spacing w:after="40"/>
        <w:ind w:left="576" w:hanging="432"/>
      </w:pPr>
      <w:r>
        <w:t>4.</w:t>
        <w:tab/>
      </w:r>
      <w:r>
        <w:rPr>
          <w:b/>
        </w:rPr>
        <w:t>Extraction and memorisation tests.</w:t>
      </w:r>
      <w:r>
        <w:t xml:space="preserve"> Test whether a removed client's text can still be extracted from the model [21], and measure memorisation at the example level as in [2].</w:t>
      </w:r>
    </w:p>
    <w:p>
      <w:pPr>
        <w:tabs>
          <w:tab w:pos="576" w:val="left"/>
        </w:tabs>
        <w:spacing w:after="40"/>
        <w:ind w:left="576" w:hanging="432"/>
      </w:pPr>
      <w:r>
        <w:t>5.</w:t>
        <w:tab/>
      </w:r>
      <w:r>
        <w:rPr>
          <w:b/>
        </w:rPr>
        <w:t>Real, partitioned corpora and large federations.</w:t>
      </w:r>
      <w:r>
        <w:t xml:space="preserve"> Replace the synthetic corpora by public text partitioned across clients with realistic non-identical distributions, at the federation sizes (about 1,000 clients) at which the privacy-utility trade-off opens up.</w:t>
      </w:r>
    </w:p>
    <w:p>
      <w:pPr>
        <w:tabs>
          <w:tab w:pos="576" w:val="left"/>
        </w:tabs>
        <w:spacing w:after="40"/>
        <w:ind w:left="576" w:hanging="432"/>
      </w:pPr>
      <w:r>
        <w:t>6.</w:t>
        <w:tab/>
      </w:r>
      <w:r>
        <w:rPr>
          <w:b/>
        </w:rPr>
        <w:t>A study with human users</w:t>
      </w:r>
      <w:r>
        <w:t>, for example compliance officers and operators, to complement the scripted acceptance journeys.</w:t>
      </w:r>
    </w:p>
    <w:p>
      <w:pPr>
        <w:tabs>
          <w:tab w:pos="576" w:val="left"/>
        </w:tabs>
        <w:spacing w:after="40"/>
        <w:ind w:left="576" w:hanging="432"/>
      </w:pPr>
      <w:r>
        <w:t>7.</w:t>
        <w:tab/>
      </w:r>
      <w:r>
        <w:rPr>
          <w:b/>
        </w:rPr>
        <w:t>A formal statement of what a certificate means</w:t>
      </w:r>
      <w:r>
        <w:t xml:space="preserve"> under the GDPR [20]: which guarantee (distributional closeness to retraining, bounded influence, or empirical non-membership) a regulator should accept, and how it composes over repeated requests.</w:t>
      </w:r>
    </w:p>
    <w:p>
      <w:pPr>
        <w:pStyle w:val="Heading1"/>
        <w:pageBreakBefore/>
      </w:pPr>
      <w:r>
        <w:t>REFERENCES</w:t>
      </w:r>
    </w:p>
    <w:p>
      <w:pPr>
        <w:spacing w:after="80" w:line="288" w:lineRule="auto"/>
        <w:ind w:left="648" w:hanging="648"/>
        <w:jc w:val="left"/>
      </w:pPr>
      <w:r>
        <w:rPr>
          <w:sz w:val="22"/>
        </w:rPr>
        <w:t>[1]</w:t>
        <w:tab/>
        <w:t>A. Khan, S. Jin, G.-H. Lee, G. E. Arzu, L. M. Dang, T. N. Nguyen, W. Choi, and H. Moon, "Deep learning approaches for continuous sign language recognition: A comprehensive review," IEEE Access, vol. 13, pp. 55524-55544, 2025, doi: 10.1109/ACCESS.2025.3554046.</w:t>
      </w:r>
    </w:p>
    <w:p>
      <w:pPr>
        <w:spacing w:after="80" w:line="288" w:lineRule="auto"/>
        <w:ind w:left="648" w:hanging="648"/>
        <w:jc w:val="left"/>
      </w:pPr>
      <w:r>
        <w:rPr>
          <w:sz w:val="22"/>
        </w:rPr>
        <w:t>[2]</w:t>
        <w:tab/>
        <w:t>J. Wei, Y. Zhang, H. Zhang, L. Y. Zhang, C. Chen, K.-L. Ong, J. Zhang, and Y. Xiang, "Rethinking federated unlearning via the lens of memorization," in Proc. 32nd ACM SIGKDD Conf. Knowledge Discovery and Data Mining (KDD '26), Jeju Island, South Korea, Aug. 2026, doi: 10.1145/3770855.3817785; arXiv:2605.24545.</w:t>
      </w:r>
    </w:p>
    <w:p>
      <w:pPr>
        <w:spacing w:after="80" w:line="288" w:lineRule="auto"/>
        <w:ind w:left="648" w:hanging="648"/>
        <w:jc w:val="left"/>
      </w:pPr>
      <w:r>
        <w:rPr>
          <w:sz w:val="22"/>
        </w:rPr>
        <w:t>[3]</w:t>
        <w:tab/>
        <w:t>F. Zhang, X. Yan, T. Wu, W. Li, T. Chen, Y. Cao, R. Yan, L. Huang, W. Y. B. Lim, and Q. Yang, "Oblivionis: A lightweight learning and unlearning framework for federated large language models," arXiv:2508.08875, Aug. 2025.</w:t>
      </w:r>
    </w:p>
    <w:p>
      <w:pPr>
        <w:spacing w:after="80" w:line="288" w:lineRule="auto"/>
        <w:ind w:left="648" w:hanging="648"/>
        <w:jc w:val="left"/>
      </w:pPr>
      <w:r>
        <w:rPr>
          <w:sz w:val="22"/>
        </w:rPr>
        <w:t>[4]</w:t>
        <w:tab/>
        <w:t>Y. Jiang, X. Tong, Z. Liu, X. Zhang, K.-Y. Lam, and C. W. Tan, "Certifying the right to be forgotten: Primal-dual optimization for sample and label unlearning in vertical federated learning," arXiv:2512.23171, 2025.</w:t>
      </w:r>
    </w:p>
    <w:p>
      <w:pPr>
        <w:spacing w:after="80" w:line="288" w:lineRule="auto"/>
        <w:ind w:left="648" w:hanging="648"/>
        <w:jc w:val="left"/>
      </w:pPr>
      <w:r>
        <w:rPr>
          <w:sz w:val="22"/>
        </w:rPr>
        <w:t>[5]</w:t>
        <w:tab/>
        <w:t>"Federated illusion: Multi-level geometric privacy audit for federated graph unlearning," Information, 2026 (listed in the batch literature survey; not independently retrieved).</w:t>
      </w:r>
    </w:p>
    <w:p>
      <w:pPr>
        <w:spacing w:after="80" w:line="288" w:lineRule="auto"/>
        <w:ind w:left="648" w:hanging="648"/>
        <w:jc w:val="left"/>
      </w:pPr>
      <w:r>
        <w:rPr>
          <w:sz w:val="22"/>
        </w:rPr>
        <w:t>[6]</w:t>
        <w:tab/>
        <w:t>"Computationally efficient federated unlearning," in Proc. 26th Int. Middleware Conf., 2025 (listed in the batch literature survey; not independently retrieved).</w:t>
      </w:r>
    </w:p>
    <w:p>
      <w:pPr>
        <w:spacing w:after="80" w:line="288" w:lineRule="auto"/>
        <w:ind w:left="648" w:hanging="648"/>
        <w:jc w:val="left"/>
      </w:pPr>
      <w:r>
        <w:rPr>
          <w:sz w:val="22"/>
        </w:rPr>
        <w:t>[7]</w:t>
        <w:tab/>
        <w:t>W. Zhang, "A comprehensive investigation of federated unlearning: Challenges, methods and future prospects in privacy-sensitive applications," in Proc. 2nd Int. Conf. Data Analysis and Machine Learning (DAML), SciTePress, 2024, pp. 569-573, doi: 10.5220/0013528500004619.</w:t>
      </w:r>
    </w:p>
    <w:p>
      <w:pPr>
        <w:spacing w:after="80" w:line="288" w:lineRule="auto"/>
        <w:ind w:left="648" w:hanging="648"/>
        <w:jc w:val="left"/>
      </w:pPr>
      <w:r>
        <w:rPr>
          <w:sz w:val="22"/>
        </w:rPr>
        <w:t>[8]</w:t>
        <w:tab/>
        <w:t>"Unlearning under siege: Robustness risks of certified machine unlearning," Neurocomputing, 2026 (listed in the batch literature survey; not independently retrieved).</w:t>
      </w:r>
    </w:p>
    <w:p>
      <w:pPr>
        <w:spacing w:after="80" w:line="288" w:lineRule="auto"/>
        <w:ind w:left="648" w:hanging="648"/>
        <w:jc w:val="left"/>
      </w:pPr>
      <w:r>
        <w:rPr>
          <w:sz w:val="22"/>
        </w:rPr>
        <w:t>[9]</w:t>
        <w:tab/>
        <w:t>H. B. McMahan, E. Moore, D. Ramage, S. Hampson, and B. Aguera y Arcas, "Communication-efficient learning of deep networks from decentralized data," in Proc. 20th Int. Conf. Artificial Intelligence and Statistics (AISTATS), PMLR vol. 54, 2017, pp. 1273-1282.</w:t>
      </w:r>
    </w:p>
    <w:p>
      <w:pPr>
        <w:spacing w:after="80" w:line="288" w:lineRule="auto"/>
        <w:ind w:left="648" w:hanging="648"/>
        <w:jc w:val="left"/>
      </w:pPr>
      <w:r>
        <w:rPr>
          <w:sz w:val="22"/>
        </w:rPr>
        <w:t>[10]</w:t>
        <w:tab/>
        <w:t>C. Dwork and A. Roth, "The algorithmic foundations of differential privacy," Foundations and Trends in Theoretical Computer Science, vol. 9, no. 3-4, pp. 211-407, 2014.</w:t>
      </w:r>
    </w:p>
    <w:p>
      <w:pPr>
        <w:spacing w:after="80" w:line="288" w:lineRule="auto"/>
        <w:ind w:left="648" w:hanging="648"/>
        <w:jc w:val="left"/>
      </w:pPr>
      <w:r>
        <w:rPr>
          <w:sz w:val="22"/>
        </w:rPr>
        <w:t>[11]</w:t>
        <w:tab/>
        <w:t>M. Abadi, A. Chu, I. Goodfellow, H. B. McMahan, I. Mironov, K. Talwar, and L. Zhang, "Deep learning with differential privacy," in Proc. ACM SIGSAC Conf. Computer and Communications Security (CCS), 2016, pp. 308-318.</w:t>
      </w:r>
    </w:p>
    <w:p>
      <w:pPr>
        <w:spacing w:after="80" w:line="288" w:lineRule="auto"/>
        <w:ind w:left="648" w:hanging="648"/>
        <w:jc w:val="left"/>
      </w:pPr>
      <w:r>
        <w:rPr>
          <w:sz w:val="22"/>
        </w:rPr>
        <w:t>[12]</w:t>
        <w:tab/>
        <w:t>L. Bourtoule, V. Chandrasekaran, C. A. Choquette-Choo, H. Jia, A. Travers, B. Zhang, D. Lie, and N. Papernot, "Machine unlearning," in Proc. IEEE Symp. Security and Privacy (SP), 2021, pp. 141-159.</w:t>
      </w:r>
    </w:p>
    <w:p>
      <w:pPr>
        <w:spacing w:after="80" w:line="288" w:lineRule="auto"/>
        <w:ind w:left="648" w:hanging="648"/>
        <w:jc w:val="left"/>
      </w:pPr>
      <w:r>
        <w:rPr>
          <w:sz w:val="22"/>
        </w:rPr>
        <w:t>[13]</w:t>
        <w:tab/>
        <w:t>C. Guo, T. Goldstein, A. Hannun, and L. van der Maaten, "Certified data removal from machine learning models," in Proc. 37th Int. Conf. Machine Learning (ICML), PMLR vol. 119, 2020, pp. 3832-3842.</w:t>
      </w:r>
    </w:p>
    <w:p>
      <w:pPr>
        <w:spacing w:after="80" w:line="288" w:lineRule="auto"/>
        <w:ind w:left="648" w:hanging="648"/>
        <w:jc w:val="left"/>
      </w:pPr>
      <w:r>
        <w:rPr>
          <w:sz w:val="22"/>
        </w:rPr>
        <w:t>[14]</w:t>
        <w:tab/>
        <w:t>A. Sekhari, J. Acharya, G. Kamath, and A. T. Suresh, "Remember what you want to forget: Algorithms for machine unlearning," in Advances in Neural Information Processing Systems (NeurIPS), vol. 34, 2021, pp. 18075-18086.</w:t>
      </w:r>
    </w:p>
    <w:p>
      <w:pPr>
        <w:spacing w:after="80" w:line="288" w:lineRule="auto"/>
        <w:ind w:left="648" w:hanging="648"/>
        <w:jc w:val="left"/>
      </w:pPr>
      <w:r>
        <w:rPr>
          <w:sz w:val="22"/>
        </w:rPr>
        <w:t>[15]</w:t>
        <w:tab/>
        <w:t>R. Shokri, M. Stronati, C. Song, and V. Shmatikov, "Membership inference attacks against machine learning models," in Proc. IEEE Symp. Security and Privacy (SP), 2017, pp. 3-18.</w:t>
      </w:r>
    </w:p>
    <w:p>
      <w:pPr>
        <w:spacing w:after="80" w:line="288" w:lineRule="auto"/>
        <w:ind w:left="648" w:hanging="648"/>
        <w:jc w:val="left"/>
      </w:pPr>
      <w:r>
        <w:rPr>
          <w:sz w:val="22"/>
        </w:rPr>
        <w:t>[16]</w:t>
        <w:tab/>
        <w:t>S. Yeom, I. Giacomelli, M. Fredrikson, and S. Jha, "Privacy risk in machine learning: Analyzing the connection to overfitting," in Proc. IEEE 31st Computer Security Foundations Symp. (CSF), 2018, pp. 268-282.</w:t>
      </w:r>
    </w:p>
    <w:p>
      <w:pPr>
        <w:spacing w:after="80" w:line="288" w:lineRule="auto"/>
        <w:ind w:left="648" w:hanging="648"/>
        <w:jc w:val="left"/>
      </w:pPr>
      <w:r>
        <w:rPr>
          <w:sz w:val="22"/>
        </w:rPr>
        <w:t>[17]</w:t>
        <w:tab/>
        <w:t>G. Liu, X. Ma, Y. Yang, C. Wang, and J. Liu, "FedEraser: Enabling efficient client-level data removal from federated learning models," in Proc. IEEE/ACM 29th Int. Symp. Quality of Service (IWQoS), 2021, pp. 1-10.</w:t>
      </w:r>
    </w:p>
    <w:p>
      <w:pPr>
        <w:spacing w:after="80" w:line="288" w:lineRule="auto"/>
        <w:ind w:left="648" w:hanging="648"/>
        <w:jc w:val="left"/>
      </w:pPr>
      <w:r>
        <w:rPr>
          <w:sz w:val="22"/>
        </w:rPr>
        <w:t>[18]</w:t>
        <w:tab/>
        <w:t>Y. Cao and J. Yang, "Towards making systems forget with machine unlearning," in Proc. IEEE Symp. Security and Privacy (SP), 2015, pp. 463-480.</w:t>
      </w:r>
    </w:p>
    <w:p>
      <w:pPr>
        <w:spacing w:after="80" w:line="288" w:lineRule="auto"/>
        <w:ind w:left="648" w:hanging="648"/>
        <w:jc w:val="left"/>
      </w:pPr>
      <w:r>
        <w:rPr>
          <w:sz w:val="22"/>
        </w:rPr>
        <w:t>[19]</w:t>
        <w:tab/>
        <w:t>B. Balle and Y.-X. Wang, "Improving the Gaussian mechanism for differential privacy: Analytical calibration and optimal denoising," in Proc. 35th Int. Conf. Machine Learning (ICML), PMLR vol. 80, 2018, pp. 394-403.</w:t>
      </w:r>
    </w:p>
    <w:p>
      <w:pPr>
        <w:spacing w:after="80" w:line="288" w:lineRule="auto"/>
        <w:ind w:left="648" w:hanging="648"/>
        <w:jc w:val="left"/>
      </w:pPr>
      <w:r>
        <w:rPr>
          <w:sz w:val="22"/>
        </w:rPr>
        <w:t>[20]</w:t>
        <w:tab/>
        <w:t>European Parliament and Council, "Regulation (EU) 2016/679 (General Data Protection Regulation)," Official Journal of the European Union, L 119, May 2016, Art. 17 (right to erasure).</w:t>
      </w:r>
    </w:p>
    <w:p>
      <w:pPr>
        <w:spacing w:after="80" w:line="288" w:lineRule="auto"/>
        <w:ind w:left="648" w:hanging="648"/>
        <w:jc w:val="left"/>
      </w:pPr>
      <w:r>
        <w:rPr>
          <w:sz w:val="22"/>
        </w:rPr>
        <w:t>[21]</w:t>
        <w:tab/>
        <w:t>N. Carlini, F. Tramer, E. Wallace, M. Jagielski, A. Herbert-Voss, K. Lee, A. Roberts, T. Brown, D. Song, U. Erlingsson, A. Oprea, and C. Raffel, "Extracting training data from large language models," in Proc. 30th USENIX Security Symp., 2021, pp. 2633-2650.</w:t>
      </w:r>
    </w:p>
    <w:p>
      <w:pPr>
        <w:spacing w:after="80" w:line="288" w:lineRule="auto"/>
        <w:ind w:left="648" w:hanging="648"/>
        <w:jc w:val="left"/>
      </w:pPr>
      <w:r>
        <w:rPr>
          <w:sz w:val="22"/>
        </w:rPr>
        <w:t>[22]</w:t>
        <w:tab/>
        <w:t>E. J. Hu, Y. Shen, P. Wallis, Z. Allen-Zhu, Y. Li, S. Wang, L. Wang, and W. Chen, "LoRA: Low-rank adaptation of large language models," in Proc. Int. Conf. Learning Representations (ICLR), 2022.</w:t>
      </w:r>
    </w:p>
    <w:p>
      <w:pPr>
        <w:spacing w:line="276" w:lineRule="auto"/>
      </w:pPr>
      <w:r>
        <w:rPr>
          <w:i/>
          <w:sz w:val="20"/>
        </w:rPr>
        <w:t>Note: references [1] to [4] and [9] to [22] were checked against their sources or are standard published works; [5], [6], [8] are titles taken from the batch literature survey that could not be located by independent search, so they are listed as given and no claim in this report depends on their content. Reference [1] is the base paper recorded in the batch files; only its review method is adopted. Reference [2] is the 2026 paper named in the project's base-paper archive.</w:t>
      </w:r>
    </w:p>
    <w:sectPr w:rsidR="00FC693F" w:rsidRPr="0006063C" w:rsidSect="00034616">
      <w:headerReference w:type="default" r:id="rId9"/>
      <w:footerReference w:type="default" r:id="rId10"/>
      <w:pgSz w:w="11909" w:h="16834"/>
      <w:pgMar w:top="1152" w:right="1152"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
      <w:rPr>
        <w:b w:val="0"/>
        <w:sz w:val="20"/>
      </w:rPr>
      <w:fldChar w:fldCharType="begin"/>
    </w:r>
    <w:r>
      <w:rPr>
        <w:b w:val="0"/>
        <w:sz w:val="20"/>
      </w:rPr>
      <w:instrText xml:space="preserve">PAGE</w:instrText>
    </w:r>
    <w:r>
      <w:rPr>
        <w:b w:val="0"/>
        <w:sz w:val="20"/>
      </w:rPr>
      <w:fldChar w:fldCharType="separate"/>
    </w:r>
    <w:r>
      <w:rPr>
        <w:b w:val="0"/>
        <w:sz w:val="20"/>
      </w:rPr>
      <w:t>1</w:t>
    </w:r>
    <w:r>
      <w:rPr>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
      <w:rPr>
        <w:rFonts w:ascii="Times New Roman" w:hAnsi="Times New Roman" w:cs="Times New Roman" w:eastAsia="Times New Roman"/>
        <w:i/>
        <w:color w:val="555555"/>
        <w:sz w:val="18"/>
      </w:rPr>
      <w:t>ForgetSafe - Conclusion, Future Scope And References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276" w:lineRule="auto"/>
      <w:jc w:val="center"/>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cs="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both"/>
    </w:pPr>
    <w:rPr>
      <w:rFonts w:ascii="Times New Roman" w:hAnsi="Times New Roman" w:cs="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keepLines/>
      <w:spacing w:line="240" w:lineRule="auto" w:before="80" w:after="200"/>
      <w:jc w:val="center"/>
    </w:pPr>
    <w:rPr>
      <w:rFonts w:ascii="Times New Roman" w:hAnsi="Times New Roman" w:cs="Times New Roman" w:eastAsia="Times New Roman"/>
      <w:b/>
      <w:sz w:val="22"/>
    </w:rPr>
  </w:style>
  <w:style w:type="paragraph" w:customStyle="1" w:styleId="TableCaption">
    <w:name w:val="Table Caption"/>
    <w:basedOn w:val="Normal"/>
    <w:pPr>
      <w:keepNext/>
      <w:spacing w:line="240" w:lineRule="auto" w:before="80" w:after="200"/>
      <w:jc w:val="center"/>
    </w:pPr>
    <w:rPr>
      <w:rFonts w:ascii="Times New Roman" w:hAnsi="Times New Roman" w:cs="Times New Roman" w:eastAsia="Times New Roman"/>
      <w:b/>
      <w:sz w:val="22"/>
    </w:rPr>
  </w:style>
  <w:style w:type="paragraph" w:customStyle="1" w:styleId="FrontHeading">
    <w:name w:val="Front Heading"/>
    <w:basedOn w:val="Normal"/>
    <w:pPr>
      <w:keepNext/>
      <w:spacing w:after="240"/>
      <w:jc w:val="center"/>
    </w:pPr>
    <w:rPr>
      <w:rFonts w:ascii="Times New Roman" w:hAnsi="Times New Roman" w:cs="Times New Roman" w:eastAsia="Times New Roman"/>
      <w:b/>
      <w:sz w:val="28"/>
    </w:rPr>
  </w:style>
  <w:style w:type="paragraph" w:customStyle="1" w:styleId="CodeBlock">
    <w:name w:val="Code Block"/>
    <w:basedOn w:val="Normal"/>
    <w:pPr>
      <w:spacing w:line="240" w:lineRule="auto" w:after="0"/>
      <w:jc w:val="left"/>
    </w:pPr>
    <w:rPr>
      <w:rFonts w:ascii="Courier New" w:hAnsi="Courier New" w:cs="Courier New" w:eastAsia="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Batch A9</dc:creator>
  <cp:keywords/>
  <dc:description>generated by python-docx</dc:description>
  <cp:lastModifiedBy/>
  <cp:revision>1</cp:revision>
  <dcterms:created xsi:type="dcterms:W3CDTF">2013-12-23T23:15:00Z</dcterms:created>
  <dcterms:modified xsi:type="dcterms:W3CDTF">2013-12-23T23:15:00Z</dcterms:modified>
  <cp:category/>
</cp:coreProperties>
</file>