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404040"/>
          <w:sz w:val="22"/>
        </w:rPr>
        <w:t xml:space="preserve">CSDS-A   |   Batch A15</w:t>
      </w:r>
    </w:p>
    <w:p>
      <w:pPr>
        <w:jc w:val="center"/>
        <w:spacing w:after="160" w:line="276" w:lineRule="auto"/>
      </w:pPr>
      <w:r>
        <w:rPr>
          <w:rFonts w:ascii="Times New Roman" w:hAnsi="Times New Roman" w:cs="Times New Roman"/>
          <w:color w:val="404040"/>
          <w:sz w:val="22"/>
        </w:rPr>
        <w:t xml:space="preserve">VisionForge AI: An Explainable Vision-Language Framework for Industrial Defect Detection, Root Cause Analysis, and Automated Inspection Reporting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LITERATURE SURVEY</w:t>
      </w:r>
    </w:p>
    <w:tbl>
      <w:tblPr>
        <w:tblW w:w="9746" w:type="dxa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</w:tblPr>
      <w:tblGrid>
        <w:gridCol w:w="650"/>
        <w:gridCol w:w="5300"/>
        <w:gridCol w:w="800"/>
        <w:gridCol w:w="2996"/>
      </w:tblGrid>
      <w:tr>
        <w:tc>
          <w:tcPr>
            <w:tcW w:w="650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S.No</w:t>
            </w:r>
          </w:p>
        </w:tc>
        <w:tc>
          <w:tcPr>
            <w:tcW w:w="5300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Paper Title</w:t>
            </w:r>
          </w:p>
        </w:tc>
        <w:tc>
          <w:tcPr>
            <w:tcW w:w="800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Year</w:t>
            </w:r>
          </w:p>
        </w:tc>
        <w:tc>
          <w:tcPr>
            <w:tcW w:w="2996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Published In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1</w:t>
            </w:r>
          </w:p>
        </w:tc>
        <w:tc>
          <w:tcPr>
            <w:tcW w:w="53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VLCIM: A Vision-Language Cyclic Interaction Model for Industrial Defect Detection   [BASE PAPER]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2025</w:t>
            </w:r>
          </w:p>
        </w:tc>
        <w:tc>
          <w:tcPr>
            <w:tcW w:w="299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IEEE Transactions on Instrumentation and Measurement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</w:t>
            </w:r>
          </w:p>
        </w:tc>
        <w:tc>
          <w:tcPr>
            <w:tcW w:w="53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Industrial Product Surface Defect Detection Using CNN: A Deep Learning Approach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2024</w:t>
            </w:r>
          </w:p>
        </w:tc>
        <w:tc>
          <w:tcPr>
            <w:tcW w:w="299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Panamerican Mathematical Journal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3</w:t>
            </w:r>
          </w:p>
        </w:tc>
        <w:tc>
          <w:tcPr>
            <w:tcW w:w="53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A Survey of Industrial Surface Defect Detection Based on Deep Learning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2024</w:t>
            </w:r>
          </w:p>
        </w:tc>
        <w:tc>
          <w:tcPr>
            <w:tcW w:w="299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2024 International Conference on Cyber-Physical Social Intelligence (ICCSI)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4</w:t>
            </w:r>
          </w:p>
        </w:tc>
        <w:tc>
          <w:tcPr>
            <w:tcW w:w="53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Deep Learning-Based Cigarette Surface Defect Detection Algorithm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2025</w:t>
            </w:r>
          </w:p>
        </w:tc>
        <w:tc>
          <w:tcPr>
            <w:tcW w:w="299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2025 IEEE 20th Conference on Industrial Electronics and Applications (ICIEA)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5</w:t>
            </w:r>
          </w:p>
        </w:tc>
        <w:tc>
          <w:tcPr>
            <w:tcW w:w="53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Aluminum profile surface defect detection system integrating deep learning and industrial internet of things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2025</w:t>
            </w:r>
          </w:p>
        </w:tc>
        <w:tc>
          <w:tcPr>
            <w:tcW w:w="299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Discover Applied Sciences</w:t>
            </w:r>
          </w:p>
        </w:tc>
      </w:tr>
    </w:tbl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EXISTING SYSTEM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Manual visual inspection by quality-control staff.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Rule-based machine vision using fixed thresholds and templates.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CNN-based defect classifiers trained on industrial datasets.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Vision-language models that improve detection accuracy using text knowledge.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LIMITATIONS OF THE EXISTING SYSTEM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Manual inspection is slow, subjective and error-prone.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Rule-based vision fails on new defect types and lighting changes.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Deep models act as black boxes without explanations.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Detections are not linked to root causes or corrective actions.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Inspection reports are prepared manually.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RESEARCH GAP</w:t>
      </w:r>
    </w:p>
    <w:p>
      <w:pPr>
        <w:jc w:val="both"/>
        <w:spacing w:after="120" w:line="276" w:lineRule="auto"/>
      </w:pPr>
      <w:r>
        <w:rPr>
          <w:rFonts w:ascii="Times New Roman" w:hAnsi="Times New Roman" w:cs="Times New Roman"/>
          <w:color w:val="000000"/>
          <w:sz w:val="24"/>
        </w:rPr>
        <w:t xml:space="preserve">Defect detection models, including vision-language ones, focus on accuracy and rarely explain their decisions or turn them into root-cause insights and inspection reports.</w:t>
      </w:r>
    </w:p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