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drawing>
          <wp:inline xmlns:wp="http://schemas.openxmlformats.org/drawingml/2006/wordprocessingDrawing" distT="0" distB="0" distL="0" distR="0">
            <wp:extent cx="6188710" cy="998482"/>
            <wp:docPr id="1" name="CollegeHeader"/>
            <a:graphic xmlns:a="http://schemas.openxmlformats.org/drawingml/2006/main">
              <a:graphicData uri="http://schemas.openxmlformats.org/drawingml/2006/picture">
                <pic:pic xmlns:pic="http://schemas.openxmlformats.org/drawingml/2006/picture">
                  <pic:nvPicPr>
                    <pic:cNvPr id="1" name="CollegeHeader"/>
                    <pic:cNvPicPr/>
                  </pic:nvPicPr>
                  <pic:blipFill>
                    <a:blip xmlns:r="http://schemas.openxmlformats.org/officeDocument/2006/relationships" r:embed="rId10"/>
                    <a:stretch>
                      <a:fillRect/>
                    </a:stretch>
                  </pic:blipFill>
                  <pic:spPr>
                    <a:xfrm>
                      <a:off x="0" y="0"/>
                      <a:ext cx="6188710" cy="998482"/>
                    </a:xfrm>
                    <a:prstGeom prst="rect">
                      <a:avLst/>
                    </a:prstGeom>
                  </pic:spPr>
                </pic:pic>
              </a:graphicData>
            </a:graphic>
          </wp:inline>
        </w:drawing>
      </w:r>
    </w:p>
    <w:p>
      <w:pPr>
        <w:jc w:val="center"/>
        <w:spacing w:after="40" w:line="276" w:lineRule="auto"/>
      </w:pPr>
      <w:r>
        <w:rPr>
          <w:rFonts w:ascii="Times New Roman" w:hAnsi="Times New Roman" w:cs="Times New Roman"/>
          <w:b/>
          <w:color w:val="000000"/>
          <w:sz w:val="24"/>
        </w:rPr>
        <w:t xml:space="preserve">Department of Computer Science and Engineering (Data Science)</w:t>
      </w:r>
    </w:p>
    <w:p>
      <w:pPr>
        <w:jc w:val="center"/>
        <w:spacing w:after="40" w:line="276" w:lineRule="auto"/>
      </w:pPr>
      <w:r>
        <w:rPr>
          <w:rFonts w:ascii="Times New Roman" w:hAnsi="Times New Roman" w:cs="Times New Roman"/>
          <w:b/>
          <w:color w:val="404040"/>
          <w:sz w:val="22"/>
        </w:rPr>
        <w:t xml:space="preserve">CSDS-A   |   Batch A17</w:t>
      </w:r>
    </w:p>
    <w:p>
      <w:pPr>
        <w:jc w:val="center"/>
        <w:spacing w:after="160" w:line="276" w:lineRule="auto"/>
      </w:pPr>
      <w:r>
        <w:rPr>
          <w:rFonts w:ascii="Times New Roman" w:hAnsi="Times New Roman" w:cs="Times New Roman"/>
          <w:color w:val="404040"/>
          <w:sz w:val="22"/>
        </w:rPr>
        <w:t xml:space="preserve">CropSight: Smart Crop Delivery with AI-Based Price and Quality Intelligence</w:t>
      </w:r>
    </w:p>
    <w:p>
      <w:pPr>
        <w:jc w:val="center"/>
        <w:spacing w:after="220" w:line="276" w:lineRule="auto"/>
      </w:pPr>
      <w:r>
        <w:rPr>
          <w:rFonts w:ascii="Copperplate Gothic Bold" w:hAnsi="Copperplate Gothic Bold" w:cs="Copperplate Gothic Bold"/>
          <w:b/>
          <w:color w:val="002060"/>
          <w:sz w:val="32"/>
        </w:rPr>
        <w:t xml:space="preserve">BASE PAPER</w:t>
      </w:r>
    </w:p>
    <w:tbl>
      <w:tblPr>
        <w:tblW w:w="9746" w:type="dxa"/>
        <w:tblBorders>
          <w:top w:val="single" w:sz="6" w:color="7F7F7F"/>
          <w:left w:val="single" w:sz="6" w:color="7F7F7F"/>
          <w:bottom w:val="single" w:sz="6" w:color="7F7F7F"/>
          <w:right w:val="single" w:sz="6" w:color="7F7F7F"/>
          <w:insideH w:val="single" w:sz="6" w:color="7F7F7F"/>
          <w:insideV w:val="single" w:sz="6" w:color="7F7F7F"/>
        </w:tblBorders>
      </w:tblPr>
      <w:tblGrid>
        <w:gridCol w:w="2600"/>
        <w:gridCol w:w="7146"/>
      </w:tblGrid>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Paper Title</w:t>
            </w:r>
          </w:p>
        </w:tc>
        <w:tc>
          <w:tcPr>
            <w:tcW w:w="7146" w:type="dxa"/>
            <w:vAlign w:val="center"/>
          </w:tcPr>
          <w:p>
            <w:pPr>
              <w:jc w:val="left"/>
              <w:spacing w:before="50" w:after="50"/>
            </w:pPr>
            <w:r>
              <w:rPr>
                <w:rFonts w:ascii="Times New Roman" w:hAnsi="Times New Roman" w:cs="Times New Roman"/>
                <w:color w:val="000000"/>
                <w:sz w:val="22"/>
              </w:rPr>
              <w:t xml:space="preserve">AI-Driven Smart Agriculture: An Integrated Approach for Soil Analysis, Irrigation, and Crop-Fertilizer Recommendations</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Published In</w:t>
            </w:r>
          </w:p>
        </w:tc>
        <w:tc>
          <w:tcPr>
            <w:tcW w:w="7146" w:type="dxa"/>
            <w:vAlign w:val="center"/>
          </w:tcPr>
          <w:p>
            <w:pPr>
              <w:jc w:val="left"/>
              <w:spacing w:before="50" w:after="50"/>
            </w:pPr>
            <w:r>
              <w:rPr>
                <w:rFonts w:ascii="Times New Roman" w:hAnsi="Times New Roman" w:cs="Times New Roman"/>
                <w:color w:val="000000"/>
                <w:sz w:val="22"/>
              </w:rPr>
              <w:t xml:space="preserve">IEEE Access</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Year</w:t>
            </w:r>
          </w:p>
        </w:tc>
        <w:tc>
          <w:tcPr>
            <w:tcW w:w="7146" w:type="dxa"/>
            <w:vAlign w:val="center"/>
          </w:tcPr>
          <w:p>
            <w:pPr>
              <w:jc w:val="left"/>
              <w:spacing w:before="50" w:after="50"/>
            </w:pPr>
            <w:r>
              <w:rPr>
                <w:rFonts w:ascii="Times New Roman" w:hAnsi="Times New Roman" w:cs="Times New Roman"/>
                <w:color w:val="000000"/>
                <w:sz w:val="22"/>
              </w:rPr>
              <w:t xml:space="preserve">2025</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DOI</w:t>
            </w:r>
          </w:p>
        </w:tc>
        <w:tc>
          <w:tcPr>
            <w:tcW w:w="7146" w:type="dxa"/>
            <w:vAlign w:val="center"/>
          </w:tcPr>
          <w:p>
            <w:pPr>
              <w:jc w:val="left"/>
              <w:spacing w:before="50" w:after="50"/>
            </w:pPr>
            <w:r>
              <w:rPr>
                <w:rFonts w:ascii="Times New Roman" w:hAnsi="Times New Roman" w:cs="Times New Roman"/>
                <w:color w:val="000000"/>
                <w:sz w:val="22"/>
              </w:rPr>
              <w:t xml:space="preserve">10.1109/access.2025.3594162</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Link</w:t>
            </w:r>
          </w:p>
        </w:tc>
        <w:tc>
          <w:tcPr>
            <w:tcW w:w="7146" w:type="dxa"/>
            <w:vAlign w:val="center"/>
          </w:tcPr>
          <w:p>
            <w:pPr>
              <w:jc w:val="left"/>
              <w:spacing w:before="50" w:after="50"/>
            </w:pPr>
            <w:r>
              <w:rPr>
                <w:rFonts w:ascii="Times New Roman" w:hAnsi="Times New Roman" w:cs="Times New Roman"/>
                <w:color w:val="000000"/>
                <w:sz w:val="22"/>
              </w:rPr>
              <w:t xml:space="preserve">https://doi.org/10.1109/access.2025.3594162</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File (Documentary)</w:t>
            </w:r>
          </w:p>
        </w:tc>
        <w:tc>
          <w:tcPr>
            <w:tcW w:w="7146" w:type="dxa"/>
            <w:vAlign w:val="center"/>
          </w:tcPr>
          <w:p>
            <w:pPr>
              <w:jc w:val="left"/>
              <w:spacing w:before="50" w:after="50"/>
            </w:pPr>
            <w:r>
              <w:rPr>
                <w:rFonts w:ascii="Times New Roman" w:hAnsi="Times New Roman" w:cs="Times New Roman"/>
                <w:color w:val="000000"/>
                <w:sz w:val="22"/>
              </w:rPr>
              <w:t xml:space="preserve">BASEPAPER_AI_Driven_Smart_Agriculture_An_Integrated.pdf</w:t>
            </w:r>
          </w:p>
        </w:tc>
      </w:tr>
    </w:tbl>
    <w:p>
      <w:pPr>
        <w:jc w:val="both"/>
        <w:spacing w:after="0" w:line="276" w:lineRule="auto"/>
      </w:pPr>
      <w:r>
        <w:rPr>
          <w:rFonts w:ascii="Times New Roman" w:hAnsi="Times New Roman" w:cs="Times New Roman"/>
          <w:color w:val="000000"/>
          <w:sz w:val="12"/>
        </w:rPr>
        <w:t xml:space="preserve"> </w:t>
      </w:r>
    </w:p>
    <w:p>
      <w:pPr>
        <w:jc w:val="left"/>
        <w:spacing w:after="100" w:line="276" w:lineRule="auto"/>
      </w:pPr>
      <w:r>
        <w:rPr>
          <w:rFonts w:ascii="Times New Roman" w:hAnsi="Times New Roman" w:cs="Times New Roman"/>
          <w:b/>
          <w:color w:val="002060"/>
          <w:sz w:val="26"/>
        </w:rPr>
        <w:t xml:space="preserve">WHAT THIS PROJECT ADOPTS FROM THE BASE PAPER</w:t>
      </w:r>
    </w:p>
    <w:p>
      <w:pPr>
        <w:jc w:val="both"/>
        <w:spacing w:after="120" w:line="276" w:lineRule="auto"/>
      </w:pPr>
      <w:r>
        <w:rPr>
          <w:rFonts w:ascii="Times New Roman" w:hAnsi="Times New Roman" w:cs="Times New Roman"/>
          <w:color w:val="000000"/>
          <w:sz w:val="24"/>
        </w:rPr>
        <w:t xml:space="preserve">The base paper integrates IoT sensors, deep learning and explainable AI for soil analysis, irrigation advice and crop recommendation. This project adopts that IoT, deep learning and XAI architecture and applies it after harvest, to quality grading, price prediction and delivery.</w:t>
      </w:r>
    </w:p>
    <w:sectPr>
      <w:pgSz w:w="11906" w:h="16838"/>
      <w:pgMar w:top="720" w:right="1080" w:bottom="720" w:left="1080" w:header="708" w:footer="708" w:gutter="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