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20"/>
      </w:pPr>
      <w:r>
        <w:drawing>
          <wp:inline xmlns:wp="http://schemas.openxmlformats.org/drawingml/2006/wordprocessingDrawing" distT="0" distB="0" distL="0" distR="0">
            <wp:extent cx="6188710" cy="998482"/>
            <wp:docPr id="1" name="CollegeHeader"/>
            <a:graphic xmlns:a="http://schemas.openxmlformats.org/drawingml/2006/main">
              <a:graphicData uri="http://schemas.openxmlformats.org/drawingml/2006/picture">
                <pic:pic xmlns:pic="http://schemas.openxmlformats.org/drawingml/2006/picture">
                  <pic:nvPicPr>
                    <pic:cNvPr id="1" name="CollegeHeader"/>
                    <pic:cNvPicPr/>
                  </pic:nvPicPr>
                  <pic:blipFill>
                    <a:blip xmlns:r="http://schemas.openxmlformats.org/officeDocument/2006/relationships" r:embed="rId10"/>
                    <a:stretch>
                      <a:fillRect/>
                    </a:stretch>
                  </pic:blipFill>
                  <pic:spPr>
                    <a:xfrm>
                      <a:off x="0" y="0"/>
                      <a:ext cx="6188710" cy="998482"/>
                    </a:xfrm>
                    <a:prstGeom prst="rect">
                      <a:avLst/>
                    </a:prstGeom>
                  </pic:spPr>
                </pic:pic>
              </a:graphicData>
            </a:graphic>
          </wp:inline>
        </w:drawing>
      </w:r>
    </w:p>
    <w:p>
      <w:pPr>
        <w:jc w:val="center"/>
        <w:spacing w:after="40" w:line="276" w:lineRule="auto"/>
      </w:pPr>
      <w:r>
        <w:rPr>
          <w:rFonts w:ascii="Times New Roman" w:hAnsi="Times New Roman" w:cs="Times New Roman"/>
          <w:b/>
          <w:color w:val="000000"/>
          <w:sz w:val="24"/>
        </w:rPr>
        <w:t xml:space="preserve">Department of Computer Science and Engineering (Data Science)</w:t>
      </w:r>
    </w:p>
    <w:p>
      <w:pPr>
        <w:jc w:val="center"/>
        <w:spacing w:after="40" w:line="276" w:lineRule="auto"/>
      </w:pPr>
      <w:r>
        <w:rPr>
          <w:rFonts w:ascii="Times New Roman" w:hAnsi="Times New Roman" w:cs="Times New Roman"/>
          <w:b/>
          <w:color w:val="404040"/>
          <w:sz w:val="22"/>
        </w:rPr>
        <w:t xml:space="preserve">CSDS-A   |   Batch A5</w:t>
      </w:r>
    </w:p>
    <w:p>
      <w:pPr>
        <w:jc w:val="center"/>
        <w:spacing w:after="160" w:line="276" w:lineRule="auto"/>
      </w:pPr>
      <w:r>
        <w:rPr>
          <w:rFonts w:ascii="Times New Roman" w:hAnsi="Times New Roman" w:cs="Times New Roman"/>
          <w:color w:val="404040"/>
          <w:sz w:val="22"/>
        </w:rPr>
        <w:t xml:space="preserve">JEPA-LLM Tuning Framework for Combating GST and Sales Tax Input Tax Credit Fraud Pattern Detection</w:t>
      </w:r>
    </w:p>
    <w:p>
      <w:pPr>
        <w:jc w:val="center"/>
        <w:spacing w:after="220" w:line="276" w:lineRule="auto"/>
      </w:pPr>
      <w:r>
        <w:rPr>
          <w:rFonts w:ascii="Copperplate Gothic Bold" w:hAnsi="Copperplate Gothic Bold" w:cs="Copperplate Gothic Bold"/>
          <w:b/>
          <w:color w:val="002060"/>
          <w:sz w:val="32"/>
        </w:rPr>
        <w:t xml:space="preserve">BASE PAPER</w:t>
      </w:r>
    </w:p>
    <w:tbl>
      <w:tblPr>
        <w:tblW w:w="9746" w:type="dxa"/>
        <w:tblBorders>
          <w:top w:val="single" w:sz="6" w:color="7F7F7F"/>
          <w:left w:val="single" w:sz="6" w:color="7F7F7F"/>
          <w:bottom w:val="single" w:sz="6" w:color="7F7F7F"/>
          <w:right w:val="single" w:sz="6" w:color="7F7F7F"/>
          <w:insideH w:val="single" w:sz="6" w:color="7F7F7F"/>
          <w:insideV w:val="single" w:sz="6" w:color="7F7F7F"/>
        </w:tblBorders>
      </w:tblPr>
      <w:tblGrid>
        <w:gridCol w:w="2600"/>
        <w:gridCol w:w="7146"/>
      </w:tblGrid>
      <w:tr>
        <w:tc>
          <w:tcPr>
            <w:tcW w:w="2600" w:type="dxa"/>
            <w:shd w:val="clear" w:color="auto" w:fill="D9E2F3"/>
            <w:vAlign w:val="center"/>
          </w:tcPr>
          <w:p>
            <w:pPr>
              <w:jc w:val="left"/>
              <w:spacing w:before="50" w:after="50"/>
            </w:pPr>
            <w:r>
              <w:rPr>
                <w:rFonts w:ascii="Times New Roman" w:hAnsi="Times New Roman" w:cs="Times New Roman"/>
                <w:b/>
                <w:color w:val="000000"/>
                <w:sz w:val="22"/>
              </w:rPr>
              <w:t xml:space="preserve">Paper Title</w:t>
            </w:r>
          </w:p>
        </w:tc>
        <w:tc>
          <w:tcPr>
            <w:tcW w:w="7146" w:type="dxa"/>
            <w:vAlign w:val="center"/>
          </w:tcPr>
          <w:p>
            <w:pPr>
              <w:jc w:val="left"/>
              <w:spacing w:before="50" w:after="50"/>
            </w:pPr>
            <w:r>
              <w:rPr>
                <w:rFonts w:ascii="Times New Roman" w:hAnsi="Times New Roman" w:cs="Times New Roman"/>
                <w:color w:val="000000"/>
                <w:sz w:val="22"/>
              </w:rPr>
              <w:t xml:space="preserve">Combating GST Input Tax Credit Fraud in India: Forensic Accounting, Data Analytics, and Legal Enforcement Strategies</w:t>
            </w:r>
          </w:p>
        </w:tc>
      </w:tr>
      <w:tr>
        <w:tc>
          <w:tcPr>
            <w:tcW w:w="2600" w:type="dxa"/>
            <w:shd w:val="clear" w:color="auto" w:fill="D9E2F3"/>
            <w:vAlign w:val="center"/>
          </w:tcPr>
          <w:p>
            <w:pPr>
              <w:jc w:val="left"/>
              <w:spacing w:before="50" w:after="50"/>
            </w:pPr>
            <w:r>
              <w:rPr>
                <w:rFonts w:ascii="Times New Roman" w:hAnsi="Times New Roman" w:cs="Times New Roman"/>
                <w:b/>
                <w:color w:val="000000"/>
                <w:sz w:val="22"/>
              </w:rPr>
              <w:t xml:space="preserve">Published In</w:t>
            </w:r>
          </w:p>
        </w:tc>
        <w:tc>
          <w:tcPr>
            <w:tcW w:w="7146" w:type="dxa"/>
            <w:vAlign w:val="center"/>
          </w:tcPr>
          <w:p>
            <w:pPr>
              <w:jc w:val="left"/>
              <w:spacing w:before="50" w:after="50"/>
            </w:pPr>
            <w:r>
              <w:rPr>
                <w:rFonts w:ascii="Times New Roman" w:hAnsi="Times New Roman" w:cs="Times New Roman"/>
                <w:color w:val="000000"/>
                <w:sz w:val="22"/>
              </w:rPr>
              <w:t xml:space="preserve">International Journal of Management, Public Policy and Research</w:t>
            </w:r>
          </w:p>
        </w:tc>
      </w:tr>
      <w:tr>
        <w:tc>
          <w:tcPr>
            <w:tcW w:w="2600" w:type="dxa"/>
            <w:shd w:val="clear" w:color="auto" w:fill="D9E2F3"/>
            <w:vAlign w:val="center"/>
          </w:tcPr>
          <w:p>
            <w:pPr>
              <w:jc w:val="left"/>
              <w:spacing w:before="50" w:after="50"/>
            </w:pPr>
            <w:r>
              <w:rPr>
                <w:rFonts w:ascii="Times New Roman" w:hAnsi="Times New Roman" w:cs="Times New Roman"/>
                <w:b/>
                <w:color w:val="000000"/>
                <w:sz w:val="22"/>
              </w:rPr>
              <w:t xml:space="preserve">Year</w:t>
            </w:r>
          </w:p>
        </w:tc>
        <w:tc>
          <w:tcPr>
            <w:tcW w:w="7146" w:type="dxa"/>
            <w:vAlign w:val="center"/>
          </w:tcPr>
          <w:p>
            <w:pPr>
              <w:jc w:val="left"/>
              <w:spacing w:before="50" w:after="50"/>
            </w:pPr>
            <w:r>
              <w:rPr>
                <w:rFonts w:ascii="Times New Roman" w:hAnsi="Times New Roman" w:cs="Times New Roman"/>
                <w:color w:val="000000"/>
                <w:sz w:val="22"/>
              </w:rPr>
              <w:t xml:space="preserve">2026</w:t>
            </w:r>
          </w:p>
        </w:tc>
      </w:tr>
      <w:tr>
        <w:tc>
          <w:tcPr>
            <w:tcW w:w="2600" w:type="dxa"/>
            <w:shd w:val="clear" w:color="auto" w:fill="D9E2F3"/>
            <w:vAlign w:val="center"/>
          </w:tcPr>
          <w:p>
            <w:pPr>
              <w:jc w:val="left"/>
              <w:spacing w:before="50" w:after="50"/>
            </w:pPr>
            <w:r>
              <w:rPr>
                <w:rFonts w:ascii="Times New Roman" w:hAnsi="Times New Roman" w:cs="Times New Roman"/>
                <w:b/>
                <w:color w:val="000000"/>
                <w:sz w:val="22"/>
              </w:rPr>
              <w:t xml:space="preserve">DOI</w:t>
            </w:r>
          </w:p>
        </w:tc>
        <w:tc>
          <w:tcPr>
            <w:tcW w:w="7146" w:type="dxa"/>
            <w:vAlign w:val="center"/>
          </w:tcPr>
          <w:p>
            <w:pPr>
              <w:jc w:val="left"/>
              <w:spacing w:before="50" w:after="50"/>
            </w:pPr>
            <w:r>
              <w:rPr>
                <w:rFonts w:ascii="Times New Roman" w:hAnsi="Times New Roman" w:cs="Times New Roman"/>
                <w:color w:val="000000"/>
                <w:sz w:val="22"/>
              </w:rPr>
              <w:t xml:space="preserve">10.55829/ykz3ea41</w:t>
            </w:r>
          </w:p>
        </w:tc>
      </w:tr>
      <w:tr>
        <w:tc>
          <w:tcPr>
            <w:tcW w:w="2600" w:type="dxa"/>
            <w:shd w:val="clear" w:color="auto" w:fill="D9E2F3"/>
            <w:vAlign w:val="center"/>
          </w:tcPr>
          <w:p>
            <w:pPr>
              <w:jc w:val="left"/>
              <w:spacing w:before="50" w:after="50"/>
            </w:pPr>
            <w:r>
              <w:rPr>
                <w:rFonts w:ascii="Times New Roman" w:hAnsi="Times New Roman" w:cs="Times New Roman"/>
                <w:b/>
                <w:color w:val="000000"/>
                <w:sz w:val="22"/>
              </w:rPr>
              <w:t xml:space="preserve">Link</w:t>
            </w:r>
          </w:p>
        </w:tc>
        <w:tc>
          <w:tcPr>
            <w:tcW w:w="7146" w:type="dxa"/>
            <w:vAlign w:val="center"/>
          </w:tcPr>
          <w:p>
            <w:pPr>
              <w:jc w:val="left"/>
              <w:spacing w:before="50" w:after="50"/>
            </w:pPr>
            <w:r>
              <w:rPr>
                <w:rFonts w:ascii="Times New Roman" w:hAnsi="Times New Roman" w:cs="Times New Roman"/>
                <w:color w:val="000000"/>
                <w:sz w:val="22"/>
              </w:rPr>
              <w:t xml:space="preserve">https://doi.org/10.55829/ykz3ea41</w:t>
            </w:r>
          </w:p>
        </w:tc>
      </w:tr>
      <w:tr>
        <w:tc>
          <w:tcPr>
            <w:tcW w:w="2600" w:type="dxa"/>
            <w:shd w:val="clear" w:color="auto" w:fill="D9E2F3"/>
            <w:vAlign w:val="center"/>
          </w:tcPr>
          <w:p>
            <w:pPr>
              <w:jc w:val="left"/>
              <w:spacing w:before="50" w:after="50"/>
            </w:pPr>
            <w:r>
              <w:rPr>
                <w:rFonts w:ascii="Times New Roman" w:hAnsi="Times New Roman" w:cs="Times New Roman"/>
                <w:b/>
                <w:color w:val="000000"/>
                <w:sz w:val="22"/>
              </w:rPr>
              <w:t xml:space="preserve">File (Documentary)</w:t>
            </w:r>
          </w:p>
        </w:tc>
        <w:tc>
          <w:tcPr>
            <w:tcW w:w="7146" w:type="dxa"/>
            <w:vAlign w:val="center"/>
          </w:tcPr>
          <w:p>
            <w:pPr>
              <w:jc w:val="left"/>
              <w:spacing w:before="50" w:after="50"/>
            </w:pPr>
            <w:r>
              <w:rPr>
                <w:rFonts w:ascii="Times New Roman" w:hAnsi="Times New Roman" w:cs="Times New Roman"/>
                <w:color w:val="000000"/>
                <w:sz w:val="22"/>
              </w:rPr>
              <w:t xml:space="preserve">BASEPAPER_COMBATING_GST_INPUT_TAX_CREDIT_FRAUD_IN_INDIA_FORENSIC_ACCOUNTIN.pdf</w:t>
            </w:r>
          </w:p>
        </w:tc>
      </w:tr>
    </w:tbl>
    <w:p>
      <w:pPr>
        <w:jc w:val="both"/>
        <w:spacing w:after="0" w:line="276" w:lineRule="auto"/>
      </w:pPr>
      <w:r>
        <w:rPr>
          <w:rFonts w:ascii="Times New Roman" w:hAnsi="Times New Roman" w:cs="Times New Roman"/>
          <w:color w:val="000000"/>
          <w:sz w:val="12"/>
        </w:rPr>
        <w:t xml:space="preserve"> </w:t>
      </w:r>
    </w:p>
    <w:p>
      <w:pPr>
        <w:jc w:val="left"/>
        <w:spacing w:after="100" w:line="276" w:lineRule="auto"/>
      </w:pPr>
      <w:r>
        <w:rPr>
          <w:rFonts w:ascii="Times New Roman" w:hAnsi="Times New Roman" w:cs="Times New Roman"/>
          <w:b/>
          <w:color w:val="002060"/>
          <w:sz w:val="26"/>
        </w:rPr>
        <w:t xml:space="preserve">WHAT THIS PROJECT ADOPTS FROM THE BASE PAPER</w:t>
      </w:r>
    </w:p>
    <w:p>
      <w:pPr>
        <w:jc w:val="both"/>
        <w:spacing w:after="120" w:line="276" w:lineRule="auto"/>
      </w:pPr>
      <w:r>
        <w:rPr>
          <w:rFonts w:ascii="Times New Roman" w:hAnsi="Times New Roman" w:cs="Times New Roman"/>
          <w:color w:val="000000"/>
          <w:sz w:val="24"/>
        </w:rPr>
        <w:t xml:space="preserve">The base paper analyses how GST Input Tax Credit fraud is carried out through fake invoices, circular trading and shell companies, and recommends data analytics and network analysis for detection. This project uses those fraud patterns as its detection targets and implements them with JEPA-based learning and LLM explanations.</w:t>
      </w:r>
    </w:p>
    <w:sectPr>
      <w:pgSz w:w="11906" w:h="16838"/>
      <w:pgMar w:top="720" w:right="1080" w:bottom="720" w:left="1080" w:header="708" w:footer="708" w:gutter="0"/>
    </w:sectPr>
  </w:body>
</w:document>
</file>

<file path=word/_rels/document.xml.rels><?xml version="1.0" encoding="UTF-8" standalone="yes"?><Relationships xmlns="http://schemas.openxmlformats.org/package/2006/relationships"><Relationship Id="rId10" Type="http://schemas.openxmlformats.org/officeDocument/2006/relationships/image" Target="media/header.png"/></Relationships>
</file>