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JEPA-LLM Tuning Framework for Combating GST and Sales Tax Input Tax Credit Fraud Pattern Detection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GST lets businesses claim Input Tax Credit on taxes paid for purchases, which makes the system a target for fraud.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Fraudsters generate fake invoices, run circular trading loops and use shell companies to claim credit without genuine transactions.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Such fraud causes large revenue losses and weakens trust in the tax system.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Fraud patterns are spread across invoices, taxpayers and filing cycles, so they are hard to see in individual records.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Confirmed fraud labels are scarce, which limits purely supervised machine learning.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combines self-supervised JEPA representation learning with an LLM to detect and explain ITC fraud patterns.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