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A9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Privacy-Preserving Machine Unlearning in Federated LLMs: A Certified Right-to-Be-Forgotten Framework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Deep Learning Approaches for Continuous Sign Language Recognition: A Comprehensive Review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Federated Illusion: Multi-Level Geometric Privacy Audit for Federated Graph Unlearning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Information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Computationally Efficient Federated Unlearning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Proceedings of the 26th International Middleware Conference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Comprehensive Investigation of Federated Unlearning: Challenges, Methods and Future Prospects in Privacy-Sensitive Applications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Proceedings of the 2nd International Conference on Data Analysis and Machine Learning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Unlearning under siege: Robustness risks of certified machine unlearning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Neurocomputing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Full retraining of the model without the deleted client's data.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Approximate unlearning through gradient ascent or heuristic weight adjustment.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SISA-style sharded training that retrains only the affected shards.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Differential privacy during training to limit the influence of individual data.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Full retraining is too expensive for large federated LLMs.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Heuristic methods provide no formal guarantee that data is forgotten.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Unlearning is not verifiable or auditable for regulators.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Aggressive unlearning degrades overall model utility.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Most methods target centralised models, not federated LLM pipelines.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Federated unlearning methods mostly remove client influence heuristically; certified, auditable unlearning designed for federated LLM pipelines remains an open problem.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