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Master Catalog &amp; Executive Index</w:t>
      </w:r>
    </w:p>
    <w:p>
      <w:pPr>
        <w:spacing w:before="80" w:after="280"/>
        <w:jc w:val="center"/>
      </w:pPr>
      <w:r>
        <w:rPr>
          <w:rFonts w:ascii="Calibri" w:hAnsi="Calibri"/>
          <w:b/>
          <w:color w:val="1B365D"/>
          <w:sz w:val="30"/>
        </w:rPr>
        <w:t>DEPARTMENT OF COMPUTER SCIENCE &amp; ENGINEERING (DATA SCIENCE)</w:t>
        <w:br/>
        <w:t>CLASS: CSDS-A | MAJOR PROJECT ABSTRACTS CATALOG</w:t>
      </w:r>
    </w:p>
    <w:p>
      <w:pPr>
        <w:spacing w:after="200" w:line="276" w:lineRule="auto"/>
        <w:jc w:val="both"/>
      </w:pPr>
      <w:r>
        <w:rPr>
          <w:rFonts w:ascii="Calibri" w:hAnsi="Calibri"/>
          <w:sz w:val="20"/>
        </w:rPr>
        <w:t>This master catalog consolidates all 15 Major Project Synopses and Structured Abstracts for the Department of Computer Science and Engineering (Data Science) - CSDS-A. Each project has been systematically parsed, extracted, and structured from its submission format into standardized executive documents featuring Project Title, Domain, Team Members, Abstract, Keywords, and Comprehensive Miscellaneous Technical Specifications.</w:t>
      </w:r>
    </w:p>
    <w:p>
      <w:pPr>
        <w:spacing w:before="200" w:after="80"/>
      </w:pPr>
      <w:r>
        <w:rPr>
          <w:rFonts w:ascii="Calibri" w:hAnsi="Calibri"/>
          <w:b/>
          <w:color w:val="1B365D"/>
          <w:sz w:val="24"/>
        </w:rPr>
        <w:t>Executive Project Directory (CSDS-A Batches)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2340"/>
        <w:gridCol w:w="2340"/>
        <w:gridCol w:w="2340"/>
        <w:gridCol w:w="2340"/>
      </w:tblGrid>
      <w:tr>
        <w:tc>
          <w:tcPr>
            <w:tcW w:type="dxa" w:w="1296"/>
            <w:shd w:fill="1B365D"/>
            <w:tcMar>
              <w:top w:w="100" w:type="dxa"/>
              <w:bottom w:w="100" w:type="dxa"/>
              <w:left w:w="100" w:type="dxa"/>
              <w:right w:w="100" w:type="dxa"/>
            </w:tcMar>
          </w:tcPr>
          <w:p>
            <w:pPr>
              <w:spacing w:after="0"/>
              <w:jc w:val="center"/>
            </w:pPr>
            <w:r>
              <w:rPr>
                <w:rFonts w:ascii="Calibri" w:hAnsi="Calibri"/>
                <w:b/>
                <w:color w:val="FFFFFF"/>
                <w:sz w:val="18"/>
              </w:rPr>
              <w:t>Batch</w:t>
            </w:r>
          </w:p>
        </w:tc>
        <w:tc>
          <w:tcPr>
            <w:tcW w:type="dxa" w:w="3888"/>
            <w:shd w:fill="1B365D"/>
            <w:tcMar>
              <w:top w:w="100" w:type="dxa"/>
              <w:bottom w:w="100" w:type="dxa"/>
              <w:left w:w="100" w:type="dxa"/>
              <w:right w:w="100" w:type="dxa"/>
            </w:tcMar>
          </w:tcPr>
          <w:p>
            <w:pPr>
              <w:spacing w:after="0"/>
            </w:pPr>
            <w:r>
              <w:rPr>
                <w:rFonts w:ascii="Calibri" w:hAnsi="Calibri"/>
                <w:b/>
                <w:color w:val="FFFFFF"/>
                <w:sz w:val="18"/>
              </w:rPr>
              <w:t>Project Title</w:t>
            </w:r>
          </w:p>
        </w:tc>
        <w:tc>
          <w:tcPr>
            <w:tcW w:type="dxa" w:w="2448"/>
            <w:shd w:fill="1B365D"/>
            <w:tcMar>
              <w:top w:w="100" w:type="dxa"/>
              <w:bottom w:w="100" w:type="dxa"/>
              <w:left w:w="100" w:type="dxa"/>
              <w:right w:w="100" w:type="dxa"/>
            </w:tcMar>
          </w:tcPr>
          <w:p>
            <w:pPr>
              <w:spacing w:after="0"/>
            </w:pPr>
            <w:r>
              <w:rPr>
                <w:rFonts w:ascii="Calibri" w:hAnsi="Calibri"/>
                <w:b/>
                <w:color w:val="FFFFFF"/>
                <w:sz w:val="18"/>
              </w:rPr>
              <w:t>Domain</w:t>
            </w:r>
          </w:p>
        </w:tc>
        <w:tc>
          <w:tcPr>
            <w:tcW w:type="dxa" w:w="1728"/>
            <w:shd w:fill="1B365D"/>
            <w:tcMar>
              <w:top w:w="100" w:type="dxa"/>
              <w:bottom w:w="100" w:type="dxa"/>
              <w:left w:w="100" w:type="dxa"/>
              <w:right w:w="100" w:type="dxa"/>
            </w:tcMar>
          </w:tcPr>
          <w:p>
            <w:pPr>
              <w:spacing w:after="0"/>
            </w:pPr>
            <w:r>
              <w:rPr>
                <w:rFonts w:ascii="Calibri" w:hAnsi="Calibri"/>
                <w:b/>
                <w:color w:val="FFFFFF"/>
                <w:sz w:val="18"/>
              </w:rPr>
              <w:t>Source File</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A-01</w:t>
            </w:r>
          </w:p>
        </w:tc>
        <w:tc>
          <w:tcPr>
            <w:tcW w:type="dxa" w:w="3888"/>
            <w:shd w:fill="FFFFFF"/>
            <w:tcMar>
              <w:top w:w="60" w:type="dxa"/>
              <w:bottom w:w="60" w:type="dxa"/>
              <w:left w:w="80" w:type="dxa"/>
              <w:right w:w="80" w:type="dxa"/>
            </w:tcMar>
          </w:tcPr>
          <w:p>
            <w:pPr>
              <w:spacing w:after="0"/>
            </w:pPr>
            <w:r>
              <w:rPr>
                <w:rFonts w:ascii="Calibri" w:hAnsi="Calibri"/>
                <w:b/>
                <w:color w:val="1B365D"/>
                <w:sz w:val="17"/>
              </w:rPr>
              <w:t>AI Health Insurance Assistance Using LLM + RAG</w:t>
            </w:r>
          </w:p>
        </w:tc>
        <w:tc>
          <w:tcPr>
            <w:tcW w:type="dxa" w:w="2448"/>
            <w:shd w:fill="FFFFFF"/>
            <w:tcMar>
              <w:top w:w="60" w:type="dxa"/>
              <w:bottom w:w="60" w:type="dxa"/>
              <w:left w:w="80" w:type="dxa"/>
              <w:right w:w="80" w:type="dxa"/>
            </w:tcMar>
          </w:tcPr>
          <w:p>
            <w:pPr>
              <w:spacing w:after="0"/>
            </w:pPr>
            <w:r>
              <w:rPr>
                <w:rFonts w:ascii="Calibri" w:hAnsi="Calibri"/>
                <w:sz w:val="17"/>
              </w:rPr>
              <w:t>Artificial Intelligence, Natural Language Processing &amp; InsurTech</w:t>
            </w:r>
          </w:p>
        </w:tc>
        <w:tc>
          <w:tcPr>
            <w:tcW w:type="dxa" w:w="1728"/>
            <w:shd w:fill="FFFFFF"/>
            <w:tcMar>
              <w:top w:w="60" w:type="dxa"/>
              <w:bottom w:w="60" w:type="dxa"/>
              <w:left w:w="80" w:type="dxa"/>
              <w:right w:w="80" w:type="dxa"/>
            </w:tcMar>
          </w:tcPr>
          <w:p>
            <w:pPr>
              <w:spacing w:after="0"/>
            </w:pPr>
            <w:r>
              <w:rPr>
                <w:rFonts w:ascii="Calibri" w:hAnsi="Calibri"/>
                <w:color w:val="595959"/>
                <w:sz w:val="16"/>
              </w:rPr>
              <w:t>A1.docx</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A-02</w:t>
            </w:r>
          </w:p>
        </w:tc>
        <w:tc>
          <w:tcPr>
            <w:tcW w:type="dxa" w:w="3888"/>
            <w:shd w:fill="F0F4F8"/>
            <w:tcMar>
              <w:top w:w="60" w:type="dxa"/>
              <w:bottom w:w="60" w:type="dxa"/>
              <w:left w:w="80" w:type="dxa"/>
              <w:right w:w="80" w:type="dxa"/>
            </w:tcMar>
          </w:tcPr>
          <w:p>
            <w:pPr>
              <w:spacing w:after="0"/>
            </w:pPr>
            <w:r>
              <w:rPr>
                <w:rFonts w:ascii="Calibri" w:hAnsi="Calibri"/>
                <w:b/>
                <w:color w:val="1B365D"/>
                <w:sz w:val="17"/>
              </w:rPr>
              <w:t>Attendance Magic: A Smart Geo-Fenced Attendance System with Live Challenge Verification</w:t>
            </w:r>
          </w:p>
        </w:tc>
        <w:tc>
          <w:tcPr>
            <w:tcW w:type="dxa" w:w="2448"/>
            <w:shd w:fill="F0F4F8"/>
            <w:tcMar>
              <w:top w:w="60" w:type="dxa"/>
              <w:bottom w:w="60" w:type="dxa"/>
              <w:left w:w="80" w:type="dxa"/>
              <w:right w:w="80" w:type="dxa"/>
            </w:tcMar>
          </w:tcPr>
          <w:p>
            <w:pPr>
              <w:spacing w:after="0"/>
            </w:pPr>
            <w:r>
              <w:rPr>
                <w:rFonts w:ascii="Calibri" w:hAnsi="Calibri"/>
                <w:sz w:val="17"/>
              </w:rPr>
              <w:t>Artificial Intelligence, Computer Vision, Cybersecurity &amp; Mobile/Web Systems</w:t>
            </w:r>
          </w:p>
        </w:tc>
        <w:tc>
          <w:tcPr>
            <w:tcW w:type="dxa" w:w="1728"/>
            <w:shd w:fill="F0F4F8"/>
            <w:tcMar>
              <w:top w:w="60" w:type="dxa"/>
              <w:bottom w:w="60" w:type="dxa"/>
              <w:left w:w="80" w:type="dxa"/>
              <w:right w:w="80" w:type="dxa"/>
            </w:tcMar>
          </w:tcPr>
          <w:p>
            <w:pPr>
              <w:spacing w:after="0"/>
            </w:pPr>
            <w:r>
              <w:rPr>
                <w:rFonts w:ascii="Calibri" w:hAnsi="Calibri"/>
                <w:color w:val="595959"/>
                <w:sz w:val="16"/>
              </w:rPr>
              <w:t>A2.docx</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A-03</w:t>
            </w:r>
          </w:p>
        </w:tc>
        <w:tc>
          <w:tcPr>
            <w:tcW w:type="dxa" w:w="3888"/>
            <w:shd w:fill="FFFFFF"/>
            <w:tcMar>
              <w:top w:w="60" w:type="dxa"/>
              <w:bottom w:w="60" w:type="dxa"/>
              <w:left w:w="80" w:type="dxa"/>
              <w:right w:w="80" w:type="dxa"/>
            </w:tcMar>
          </w:tcPr>
          <w:p>
            <w:pPr>
              <w:spacing w:after="0"/>
            </w:pPr>
            <w:r>
              <w:rPr>
                <w:rFonts w:ascii="Calibri" w:hAnsi="Calibri"/>
                <w:b/>
                <w:color w:val="1B365D"/>
                <w:sz w:val="17"/>
              </w:rPr>
              <w:t>A Dynamic Phishing URL Detection System Integrating Advanced Machine Learning and Crowdsourced Threat Intelligence</w:t>
            </w:r>
          </w:p>
        </w:tc>
        <w:tc>
          <w:tcPr>
            <w:tcW w:type="dxa" w:w="2448"/>
            <w:shd w:fill="FFFFFF"/>
            <w:tcMar>
              <w:top w:w="60" w:type="dxa"/>
              <w:bottom w:w="60" w:type="dxa"/>
              <w:left w:w="80" w:type="dxa"/>
              <w:right w:w="80" w:type="dxa"/>
            </w:tcMar>
          </w:tcPr>
          <w:p>
            <w:pPr>
              <w:spacing w:after="0"/>
            </w:pPr>
            <w:r>
              <w:rPr>
                <w:rFonts w:ascii="Calibri" w:hAnsi="Calibri"/>
                <w:sz w:val="17"/>
              </w:rPr>
              <w:t>Cybersecurity, Machine Learning &amp; Threat Intelligence</w:t>
            </w:r>
          </w:p>
        </w:tc>
        <w:tc>
          <w:tcPr>
            <w:tcW w:type="dxa" w:w="1728"/>
            <w:shd w:fill="FFFFFF"/>
            <w:tcMar>
              <w:top w:w="60" w:type="dxa"/>
              <w:bottom w:w="60" w:type="dxa"/>
              <w:left w:w="80" w:type="dxa"/>
              <w:right w:w="80" w:type="dxa"/>
            </w:tcMar>
          </w:tcPr>
          <w:p>
            <w:pPr>
              <w:spacing w:after="0"/>
            </w:pPr>
            <w:r>
              <w:rPr>
                <w:rFonts w:ascii="Calibri" w:hAnsi="Calibri"/>
                <w:color w:val="595959"/>
                <w:sz w:val="16"/>
              </w:rPr>
              <w:t>A3.docx</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A-04</w:t>
            </w:r>
          </w:p>
        </w:tc>
        <w:tc>
          <w:tcPr>
            <w:tcW w:type="dxa" w:w="3888"/>
            <w:shd w:fill="F0F4F8"/>
            <w:tcMar>
              <w:top w:w="60" w:type="dxa"/>
              <w:bottom w:w="60" w:type="dxa"/>
              <w:left w:w="80" w:type="dxa"/>
              <w:right w:w="80" w:type="dxa"/>
            </w:tcMar>
          </w:tcPr>
          <w:p>
            <w:pPr>
              <w:spacing w:after="0"/>
            </w:pPr>
            <w:r>
              <w:rPr>
                <w:rFonts w:ascii="Calibri" w:hAnsi="Calibri"/>
                <w:b/>
                <w:color w:val="1B365D"/>
                <w:sz w:val="17"/>
              </w:rPr>
              <w:t>Advanced Optimization in E-Commerce Logistics: Combining Matheuristics With Random Forests for Hub Location Efficiency</w:t>
            </w:r>
          </w:p>
        </w:tc>
        <w:tc>
          <w:tcPr>
            <w:tcW w:type="dxa" w:w="2448"/>
            <w:shd w:fill="F0F4F8"/>
            <w:tcMar>
              <w:top w:w="60" w:type="dxa"/>
              <w:bottom w:w="60" w:type="dxa"/>
              <w:left w:w="80" w:type="dxa"/>
              <w:right w:w="80" w:type="dxa"/>
            </w:tcMar>
          </w:tcPr>
          <w:p>
            <w:pPr>
              <w:spacing w:after="0"/>
            </w:pPr>
            <w:r>
              <w:rPr>
                <w:rFonts w:ascii="Calibri" w:hAnsi="Calibri"/>
                <w:sz w:val="17"/>
              </w:rPr>
              <w:t>Data Science, Machine Learning &amp; Supply Chain Operations Research</w:t>
            </w:r>
          </w:p>
        </w:tc>
        <w:tc>
          <w:tcPr>
            <w:tcW w:type="dxa" w:w="1728"/>
            <w:shd w:fill="F0F4F8"/>
            <w:tcMar>
              <w:top w:w="60" w:type="dxa"/>
              <w:bottom w:w="60" w:type="dxa"/>
              <w:left w:w="80" w:type="dxa"/>
              <w:right w:w="80" w:type="dxa"/>
            </w:tcMar>
          </w:tcPr>
          <w:p>
            <w:pPr>
              <w:spacing w:after="0"/>
            </w:pPr>
            <w:r>
              <w:rPr>
                <w:rFonts w:ascii="Calibri" w:hAnsi="Calibri"/>
                <w:color w:val="595959"/>
                <w:sz w:val="16"/>
              </w:rPr>
              <w:t>A4.docx</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A-05</w:t>
            </w:r>
          </w:p>
        </w:tc>
        <w:tc>
          <w:tcPr>
            <w:tcW w:type="dxa" w:w="3888"/>
            <w:shd w:fill="FFFFFF"/>
            <w:tcMar>
              <w:top w:w="60" w:type="dxa"/>
              <w:bottom w:w="60" w:type="dxa"/>
              <w:left w:w="80" w:type="dxa"/>
              <w:right w:w="80" w:type="dxa"/>
            </w:tcMar>
          </w:tcPr>
          <w:p>
            <w:pPr>
              <w:spacing w:after="0"/>
            </w:pPr>
            <w:r>
              <w:rPr>
                <w:rFonts w:ascii="Calibri" w:hAnsi="Calibri"/>
                <w:b/>
                <w:color w:val="1B365D"/>
                <w:sz w:val="17"/>
              </w:rPr>
              <w:t>JEPA-LLM Tuning Framework for Combating GST and Sales Tax Input Tax Credit Fraud Pattern Detection</w:t>
            </w:r>
          </w:p>
        </w:tc>
        <w:tc>
          <w:tcPr>
            <w:tcW w:type="dxa" w:w="2448"/>
            <w:shd w:fill="FFFFFF"/>
            <w:tcMar>
              <w:top w:w="60" w:type="dxa"/>
              <w:bottom w:w="60" w:type="dxa"/>
              <w:left w:w="80" w:type="dxa"/>
              <w:right w:w="80" w:type="dxa"/>
            </w:tcMar>
          </w:tcPr>
          <w:p>
            <w:pPr>
              <w:spacing w:after="0"/>
            </w:pPr>
            <w:r>
              <w:rPr>
                <w:rFonts w:ascii="Calibri" w:hAnsi="Calibri"/>
                <w:sz w:val="17"/>
              </w:rPr>
              <w:t>Artificial Intelligence, Self-Supervised Learning &amp; Financial Forensic Analytics</w:t>
            </w:r>
          </w:p>
        </w:tc>
        <w:tc>
          <w:tcPr>
            <w:tcW w:type="dxa" w:w="1728"/>
            <w:shd w:fill="FFFFFF"/>
            <w:tcMar>
              <w:top w:w="60" w:type="dxa"/>
              <w:bottom w:w="60" w:type="dxa"/>
              <w:left w:w="80" w:type="dxa"/>
              <w:right w:w="80" w:type="dxa"/>
            </w:tcMar>
          </w:tcPr>
          <w:p>
            <w:pPr>
              <w:spacing w:after="0"/>
            </w:pPr>
            <w:r>
              <w:rPr>
                <w:rFonts w:ascii="Calibri" w:hAnsi="Calibri"/>
                <w:color w:val="595959"/>
                <w:sz w:val="16"/>
              </w:rPr>
              <w:t>A5.docx</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A-06</w:t>
            </w:r>
          </w:p>
        </w:tc>
        <w:tc>
          <w:tcPr>
            <w:tcW w:type="dxa" w:w="3888"/>
            <w:shd w:fill="F0F4F8"/>
            <w:tcMar>
              <w:top w:w="60" w:type="dxa"/>
              <w:bottom w:w="60" w:type="dxa"/>
              <w:left w:w="80" w:type="dxa"/>
              <w:right w:w="80" w:type="dxa"/>
            </w:tcMar>
          </w:tcPr>
          <w:p>
            <w:pPr>
              <w:spacing w:after="0"/>
            </w:pPr>
            <w:r>
              <w:rPr>
                <w:rFonts w:ascii="Calibri" w:hAnsi="Calibri"/>
                <w:b/>
                <w:color w:val="1B365D"/>
                <w:sz w:val="17"/>
              </w:rPr>
              <w:t>Legal Contract Complexity &amp; Predatory Clause Detector</w:t>
            </w:r>
          </w:p>
        </w:tc>
        <w:tc>
          <w:tcPr>
            <w:tcW w:type="dxa" w:w="2448"/>
            <w:shd w:fill="F0F4F8"/>
            <w:tcMar>
              <w:top w:w="60" w:type="dxa"/>
              <w:bottom w:w="60" w:type="dxa"/>
              <w:left w:w="80" w:type="dxa"/>
              <w:right w:w="80" w:type="dxa"/>
            </w:tcMar>
          </w:tcPr>
          <w:p>
            <w:pPr>
              <w:spacing w:after="0"/>
            </w:pPr>
            <w:r>
              <w:rPr>
                <w:rFonts w:ascii="Calibri" w:hAnsi="Calibri"/>
                <w:sz w:val="17"/>
              </w:rPr>
              <w:t>Artificial Intelligence, Legal NLP, Graph Databases &amp; Contract Intelligence</w:t>
            </w:r>
          </w:p>
        </w:tc>
        <w:tc>
          <w:tcPr>
            <w:tcW w:type="dxa" w:w="1728"/>
            <w:shd w:fill="F0F4F8"/>
            <w:tcMar>
              <w:top w:w="60" w:type="dxa"/>
              <w:bottom w:w="60" w:type="dxa"/>
              <w:left w:w="80" w:type="dxa"/>
              <w:right w:w="80" w:type="dxa"/>
            </w:tcMar>
          </w:tcPr>
          <w:p>
            <w:pPr>
              <w:spacing w:after="0"/>
            </w:pPr>
            <w:r>
              <w:rPr>
                <w:rFonts w:ascii="Calibri" w:hAnsi="Calibri"/>
                <w:color w:val="595959"/>
                <w:sz w:val="16"/>
              </w:rPr>
              <w:t>A6.doc</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A-07</w:t>
            </w:r>
          </w:p>
        </w:tc>
        <w:tc>
          <w:tcPr>
            <w:tcW w:type="dxa" w:w="3888"/>
            <w:shd w:fill="FFFFFF"/>
            <w:tcMar>
              <w:top w:w="60" w:type="dxa"/>
              <w:bottom w:w="60" w:type="dxa"/>
              <w:left w:w="80" w:type="dxa"/>
              <w:right w:w="80" w:type="dxa"/>
            </w:tcMar>
          </w:tcPr>
          <w:p>
            <w:pPr>
              <w:spacing w:after="0"/>
            </w:pPr>
            <w:r>
              <w:rPr>
                <w:rFonts w:ascii="Calibri" w:hAnsi="Calibri"/>
                <w:b/>
                <w:color w:val="1B365D"/>
                <w:sz w:val="17"/>
              </w:rPr>
              <w:t>SHEGUARD: AI POWERED WOMEN’S SAFETY PLATFORM</w:t>
            </w:r>
          </w:p>
        </w:tc>
        <w:tc>
          <w:tcPr>
            <w:tcW w:type="dxa" w:w="2448"/>
            <w:shd w:fill="FFFFFF"/>
            <w:tcMar>
              <w:top w:w="60" w:type="dxa"/>
              <w:bottom w:w="60" w:type="dxa"/>
              <w:left w:w="80" w:type="dxa"/>
              <w:right w:w="80" w:type="dxa"/>
            </w:tcMar>
          </w:tcPr>
          <w:p>
            <w:pPr>
              <w:spacing w:after="0"/>
            </w:pPr>
            <w:r>
              <w:rPr>
                <w:rFonts w:ascii="Calibri" w:hAnsi="Calibri"/>
                <w:sz w:val="17"/>
              </w:rPr>
              <w:t>Artificial Intelligence, Mobile Computing, Location Intelligence &amp; Personal Security</w:t>
            </w:r>
          </w:p>
        </w:tc>
        <w:tc>
          <w:tcPr>
            <w:tcW w:type="dxa" w:w="1728"/>
            <w:shd w:fill="FFFFFF"/>
            <w:tcMar>
              <w:top w:w="60" w:type="dxa"/>
              <w:bottom w:w="60" w:type="dxa"/>
              <w:left w:w="80" w:type="dxa"/>
              <w:right w:w="80" w:type="dxa"/>
            </w:tcMar>
          </w:tcPr>
          <w:p>
            <w:pPr>
              <w:spacing w:after="0"/>
            </w:pPr>
            <w:r>
              <w:rPr>
                <w:rFonts w:ascii="Calibri" w:hAnsi="Calibri"/>
                <w:color w:val="595959"/>
                <w:sz w:val="16"/>
              </w:rPr>
              <w:t>A7.docx</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A-08</w:t>
            </w:r>
          </w:p>
        </w:tc>
        <w:tc>
          <w:tcPr>
            <w:tcW w:type="dxa" w:w="3888"/>
            <w:shd w:fill="F0F4F8"/>
            <w:tcMar>
              <w:top w:w="60" w:type="dxa"/>
              <w:bottom w:w="60" w:type="dxa"/>
              <w:left w:w="80" w:type="dxa"/>
              <w:right w:w="80" w:type="dxa"/>
            </w:tcMar>
          </w:tcPr>
          <w:p>
            <w:pPr>
              <w:spacing w:after="0"/>
            </w:pPr>
            <w:r>
              <w:rPr>
                <w:rFonts w:ascii="Calibri" w:hAnsi="Calibri"/>
                <w:b/>
                <w:color w:val="1B365D"/>
                <w:sz w:val="17"/>
              </w:rPr>
              <w:t>JEPA LLM Tuning Framework Model for Self Supervised Medical Image Segmentation and DNA Finger Printing Analysis</w:t>
            </w:r>
          </w:p>
        </w:tc>
        <w:tc>
          <w:tcPr>
            <w:tcW w:type="dxa" w:w="2448"/>
            <w:shd w:fill="F0F4F8"/>
            <w:tcMar>
              <w:top w:w="60" w:type="dxa"/>
              <w:bottom w:w="60" w:type="dxa"/>
              <w:left w:w="80" w:type="dxa"/>
              <w:right w:w="80" w:type="dxa"/>
            </w:tcMar>
          </w:tcPr>
          <w:p>
            <w:pPr>
              <w:spacing w:after="0"/>
            </w:pPr>
            <w:r>
              <w:rPr>
                <w:rFonts w:ascii="Calibri" w:hAnsi="Calibri"/>
                <w:sz w:val="17"/>
              </w:rPr>
              <w:t>Artificial Intelligence, Medical Imaging, Bioinformatics &amp; Forensic Science</w:t>
            </w:r>
          </w:p>
        </w:tc>
        <w:tc>
          <w:tcPr>
            <w:tcW w:type="dxa" w:w="1728"/>
            <w:shd w:fill="F0F4F8"/>
            <w:tcMar>
              <w:top w:w="60" w:type="dxa"/>
              <w:bottom w:w="60" w:type="dxa"/>
              <w:left w:w="80" w:type="dxa"/>
              <w:right w:w="80" w:type="dxa"/>
            </w:tcMar>
          </w:tcPr>
          <w:p>
            <w:pPr>
              <w:spacing w:after="0"/>
            </w:pPr>
            <w:r>
              <w:rPr>
                <w:rFonts w:ascii="Calibri" w:hAnsi="Calibri"/>
                <w:color w:val="595959"/>
                <w:sz w:val="16"/>
              </w:rPr>
              <w:t>A8.docx</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A-09</w:t>
            </w:r>
          </w:p>
        </w:tc>
        <w:tc>
          <w:tcPr>
            <w:tcW w:type="dxa" w:w="3888"/>
            <w:shd w:fill="FFFFFF"/>
            <w:tcMar>
              <w:top w:w="60" w:type="dxa"/>
              <w:bottom w:w="60" w:type="dxa"/>
              <w:left w:w="80" w:type="dxa"/>
              <w:right w:w="80" w:type="dxa"/>
            </w:tcMar>
          </w:tcPr>
          <w:p>
            <w:pPr>
              <w:spacing w:after="0"/>
            </w:pPr>
            <w:r>
              <w:rPr>
                <w:rFonts w:ascii="Calibri" w:hAnsi="Calibri"/>
                <w:b/>
                <w:color w:val="1B365D"/>
                <w:sz w:val="17"/>
              </w:rPr>
              <w:t>Privacy-Preserving Machine Unlearning in Federated LLMs: A Certified Right-to-Be-Forgotten Framework</w:t>
            </w:r>
          </w:p>
        </w:tc>
        <w:tc>
          <w:tcPr>
            <w:tcW w:type="dxa" w:w="2448"/>
            <w:shd w:fill="FFFFFF"/>
            <w:tcMar>
              <w:top w:w="60" w:type="dxa"/>
              <w:bottom w:w="60" w:type="dxa"/>
              <w:left w:w="80" w:type="dxa"/>
              <w:right w:w="80" w:type="dxa"/>
            </w:tcMar>
          </w:tcPr>
          <w:p>
            <w:pPr>
              <w:spacing w:after="0"/>
            </w:pPr>
            <w:r>
              <w:rPr>
                <w:rFonts w:ascii="Calibri" w:hAnsi="Calibri"/>
                <w:sz w:val="17"/>
              </w:rPr>
              <w:t>Federated Learning, Differential Privacy, Large Language Models &amp; AI Governance</w:t>
            </w:r>
          </w:p>
        </w:tc>
        <w:tc>
          <w:tcPr>
            <w:tcW w:type="dxa" w:w="1728"/>
            <w:shd w:fill="FFFFFF"/>
            <w:tcMar>
              <w:top w:w="60" w:type="dxa"/>
              <w:bottom w:w="60" w:type="dxa"/>
              <w:left w:w="80" w:type="dxa"/>
              <w:right w:w="80" w:type="dxa"/>
            </w:tcMar>
          </w:tcPr>
          <w:p>
            <w:pPr>
              <w:spacing w:after="0"/>
            </w:pPr>
            <w:r>
              <w:rPr>
                <w:rFonts w:ascii="Calibri" w:hAnsi="Calibri"/>
                <w:color w:val="595959"/>
                <w:sz w:val="16"/>
              </w:rPr>
              <w:t>A9.docx</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A-10</w:t>
            </w:r>
          </w:p>
        </w:tc>
        <w:tc>
          <w:tcPr>
            <w:tcW w:type="dxa" w:w="3888"/>
            <w:shd w:fill="F0F4F8"/>
            <w:tcMar>
              <w:top w:w="60" w:type="dxa"/>
              <w:bottom w:w="60" w:type="dxa"/>
              <w:left w:w="80" w:type="dxa"/>
              <w:right w:w="80" w:type="dxa"/>
            </w:tcMar>
          </w:tcPr>
          <w:p>
            <w:pPr>
              <w:spacing w:after="0"/>
            </w:pPr>
            <w:r>
              <w:rPr>
                <w:rFonts w:ascii="Calibri" w:hAnsi="Calibri"/>
                <w:b/>
                <w:color w:val="1B365D"/>
                <w:sz w:val="17"/>
              </w:rPr>
              <w:t>AI Powered Intelligent Hospital Patient Flow Management System</w:t>
            </w:r>
          </w:p>
        </w:tc>
        <w:tc>
          <w:tcPr>
            <w:tcW w:type="dxa" w:w="2448"/>
            <w:shd w:fill="F0F4F8"/>
            <w:tcMar>
              <w:top w:w="60" w:type="dxa"/>
              <w:bottom w:w="60" w:type="dxa"/>
              <w:left w:w="80" w:type="dxa"/>
              <w:right w:w="80" w:type="dxa"/>
            </w:tcMar>
          </w:tcPr>
          <w:p>
            <w:pPr>
              <w:spacing w:after="0"/>
            </w:pPr>
            <w:r>
              <w:rPr>
                <w:rFonts w:ascii="Calibri" w:hAnsi="Calibri"/>
                <w:sz w:val="17"/>
              </w:rPr>
              <w:t>Healthcare Informatics, Operations Research &amp; Artificial Intelligence</w:t>
            </w:r>
          </w:p>
        </w:tc>
        <w:tc>
          <w:tcPr>
            <w:tcW w:type="dxa" w:w="1728"/>
            <w:shd w:fill="F0F4F8"/>
            <w:tcMar>
              <w:top w:w="60" w:type="dxa"/>
              <w:bottom w:w="60" w:type="dxa"/>
              <w:left w:w="80" w:type="dxa"/>
              <w:right w:w="80" w:type="dxa"/>
            </w:tcMar>
          </w:tcPr>
          <w:p>
            <w:pPr>
              <w:spacing w:after="0"/>
            </w:pPr>
            <w:r>
              <w:rPr>
                <w:rFonts w:ascii="Calibri" w:hAnsi="Calibri"/>
                <w:color w:val="595959"/>
                <w:sz w:val="16"/>
              </w:rPr>
              <w:t>A10.docx</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A-11</w:t>
            </w:r>
          </w:p>
        </w:tc>
        <w:tc>
          <w:tcPr>
            <w:tcW w:type="dxa" w:w="3888"/>
            <w:shd w:fill="FFFFFF"/>
            <w:tcMar>
              <w:top w:w="60" w:type="dxa"/>
              <w:bottom w:w="60" w:type="dxa"/>
              <w:left w:w="80" w:type="dxa"/>
              <w:right w:w="80" w:type="dxa"/>
            </w:tcMar>
          </w:tcPr>
          <w:p>
            <w:pPr>
              <w:spacing w:after="0"/>
            </w:pPr>
            <w:r>
              <w:rPr>
                <w:rFonts w:ascii="Calibri" w:hAnsi="Calibri"/>
                <w:b/>
                <w:color w:val="1B365D"/>
                <w:sz w:val="17"/>
              </w:rPr>
              <w:t>AI-Driven E-Commerce Recommendation System with Digital Twin Simulation</w:t>
            </w:r>
          </w:p>
        </w:tc>
        <w:tc>
          <w:tcPr>
            <w:tcW w:type="dxa" w:w="2448"/>
            <w:shd w:fill="FFFFFF"/>
            <w:tcMar>
              <w:top w:w="60" w:type="dxa"/>
              <w:bottom w:w="60" w:type="dxa"/>
              <w:left w:w="80" w:type="dxa"/>
              <w:right w:w="80" w:type="dxa"/>
            </w:tcMar>
          </w:tcPr>
          <w:p>
            <w:pPr>
              <w:spacing w:after="0"/>
            </w:pPr>
            <w:r>
              <w:rPr>
                <w:rFonts w:ascii="Calibri" w:hAnsi="Calibri"/>
                <w:sz w:val="17"/>
              </w:rPr>
              <w:t>Big Data Analytics, Multi-Agent AI &amp; Digital Twin Simulation</w:t>
            </w:r>
          </w:p>
        </w:tc>
        <w:tc>
          <w:tcPr>
            <w:tcW w:type="dxa" w:w="1728"/>
            <w:shd w:fill="FFFFFF"/>
            <w:tcMar>
              <w:top w:w="60" w:type="dxa"/>
              <w:bottom w:w="60" w:type="dxa"/>
              <w:left w:w="80" w:type="dxa"/>
              <w:right w:w="80" w:type="dxa"/>
            </w:tcMar>
          </w:tcPr>
          <w:p>
            <w:pPr>
              <w:spacing w:after="0"/>
            </w:pPr>
            <w:r>
              <w:rPr>
                <w:rFonts w:ascii="Calibri" w:hAnsi="Calibri"/>
                <w:color w:val="595959"/>
                <w:sz w:val="16"/>
              </w:rPr>
              <w:t>A11.docx</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A-12</w:t>
            </w:r>
          </w:p>
        </w:tc>
        <w:tc>
          <w:tcPr>
            <w:tcW w:type="dxa" w:w="3888"/>
            <w:shd w:fill="F0F4F8"/>
            <w:tcMar>
              <w:top w:w="60" w:type="dxa"/>
              <w:bottom w:w="60" w:type="dxa"/>
              <w:left w:w="80" w:type="dxa"/>
              <w:right w:w="80" w:type="dxa"/>
            </w:tcMar>
          </w:tcPr>
          <w:p>
            <w:pPr>
              <w:spacing w:after="0"/>
            </w:pPr>
            <w:r>
              <w:rPr>
                <w:rFonts w:ascii="Calibri" w:hAnsi="Calibri"/>
                <w:b/>
                <w:color w:val="1B365D"/>
                <w:sz w:val="17"/>
              </w:rPr>
              <w:t>ANALYSING MILLET SEED GERMINATION PREDICTION USING JEPA LLM TUNING MODELS AND CROP ANALYSIS</w:t>
            </w:r>
          </w:p>
        </w:tc>
        <w:tc>
          <w:tcPr>
            <w:tcW w:type="dxa" w:w="2448"/>
            <w:shd w:fill="F0F4F8"/>
            <w:tcMar>
              <w:top w:w="60" w:type="dxa"/>
              <w:bottom w:w="60" w:type="dxa"/>
              <w:left w:w="80" w:type="dxa"/>
              <w:right w:w="80" w:type="dxa"/>
            </w:tcMar>
          </w:tcPr>
          <w:p>
            <w:pPr>
              <w:spacing w:after="0"/>
            </w:pPr>
            <w:r>
              <w:rPr>
                <w:rFonts w:ascii="Calibri" w:hAnsi="Calibri"/>
                <w:sz w:val="17"/>
              </w:rPr>
              <w:t>Precision Agriculture, Computer Vision, Self-Supervised Learning &amp; Agronomy</w:t>
            </w:r>
          </w:p>
        </w:tc>
        <w:tc>
          <w:tcPr>
            <w:tcW w:type="dxa" w:w="1728"/>
            <w:shd w:fill="F0F4F8"/>
            <w:tcMar>
              <w:top w:w="60" w:type="dxa"/>
              <w:bottom w:w="60" w:type="dxa"/>
              <w:left w:w="80" w:type="dxa"/>
              <w:right w:w="80" w:type="dxa"/>
            </w:tcMar>
          </w:tcPr>
          <w:p>
            <w:pPr>
              <w:spacing w:after="0"/>
            </w:pPr>
            <w:r>
              <w:rPr>
                <w:rFonts w:ascii="Calibri" w:hAnsi="Calibri"/>
                <w:color w:val="595959"/>
                <w:sz w:val="16"/>
              </w:rPr>
              <w:t>A12.docx</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A-14</w:t>
            </w:r>
          </w:p>
        </w:tc>
        <w:tc>
          <w:tcPr>
            <w:tcW w:type="dxa" w:w="3888"/>
            <w:shd w:fill="FFFFFF"/>
            <w:tcMar>
              <w:top w:w="60" w:type="dxa"/>
              <w:bottom w:w="60" w:type="dxa"/>
              <w:left w:w="80" w:type="dxa"/>
              <w:right w:w="80" w:type="dxa"/>
            </w:tcMar>
          </w:tcPr>
          <w:p>
            <w:pPr>
              <w:spacing w:after="0"/>
            </w:pPr>
            <w:r>
              <w:rPr>
                <w:rFonts w:ascii="Calibri" w:hAnsi="Calibri"/>
                <w:b/>
                <w:color w:val="1B365D"/>
                <w:sz w:val="17"/>
              </w:rPr>
              <w:t>Plastic Detection in Oceans Using Artificial Intelligence</w:t>
            </w:r>
          </w:p>
        </w:tc>
        <w:tc>
          <w:tcPr>
            <w:tcW w:type="dxa" w:w="2448"/>
            <w:shd w:fill="FFFFFF"/>
            <w:tcMar>
              <w:top w:w="60" w:type="dxa"/>
              <w:bottom w:w="60" w:type="dxa"/>
              <w:left w:w="80" w:type="dxa"/>
              <w:right w:w="80" w:type="dxa"/>
            </w:tcMar>
          </w:tcPr>
          <w:p>
            <w:pPr>
              <w:spacing w:after="0"/>
            </w:pPr>
            <w:r>
              <w:rPr>
                <w:rFonts w:ascii="Calibri" w:hAnsi="Calibri"/>
                <w:sz w:val="17"/>
              </w:rPr>
              <w:t>Computer Vision, Deep Learning, Marine Robotics &amp; Environmental Conservation</w:t>
            </w:r>
          </w:p>
        </w:tc>
        <w:tc>
          <w:tcPr>
            <w:tcW w:type="dxa" w:w="1728"/>
            <w:shd w:fill="FFFFFF"/>
            <w:tcMar>
              <w:top w:w="60" w:type="dxa"/>
              <w:bottom w:w="60" w:type="dxa"/>
              <w:left w:w="80" w:type="dxa"/>
              <w:right w:w="80" w:type="dxa"/>
            </w:tcMar>
          </w:tcPr>
          <w:p>
            <w:pPr>
              <w:spacing w:after="0"/>
            </w:pPr>
            <w:r>
              <w:rPr>
                <w:rFonts w:ascii="Calibri" w:hAnsi="Calibri"/>
                <w:color w:val="595959"/>
                <w:sz w:val="16"/>
              </w:rPr>
              <w:t>A14.docx</w:t>
            </w:r>
          </w:p>
        </w:tc>
      </w:tr>
      <w:tr>
        <w:tc>
          <w:tcPr>
            <w:tcW w:type="dxa" w:w="1296"/>
            <w:shd w:fill="F0F4F8"/>
            <w:tcMar>
              <w:top w:w="60" w:type="dxa"/>
              <w:bottom w:w="60" w:type="dxa"/>
              <w:left w:w="80" w:type="dxa"/>
              <w:right w:w="80" w:type="dxa"/>
            </w:tcMar>
          </w:tcPr>
          <w:p>
            <w:pPr>
              <w:spacing w:after="0"/>
              <w:jc w:val="center"/>
            </w:pPr>
            <w:r>
              <w:rPr>
                <w:rFonts w:ascii="Calibri" w:hAnsi="Calibri"/>
                <w:b/>
                <w:sz w:val="18"/>
              </w:rPr>
              <w:t>A-16</w:t>
            </w:r>
          </w:p>
        </w:tc>
        <w:tc>
          <w:tcPr>
            <w:tcW w:type="dxa" w:w="3888"/>
            <w:shd w:fill="F0F4F8"/>
            <w:tcMar>
              <w:top w:w="60" w:type="dxa"/>
              <w:bottom w:w="60" w:type="dxa"/>
              <w:left w:w="80" w:type="dxa"/>
              <w:right w:w="80" w:type="dxa"/>
            </w:tcMar>
          </w:tcPr>
          <w:p>
            <w:pPr>
              <w:spacing w:after="0"/>
            </w:pPr>
            <w:r>
              <w:rPr>
                <w:rFonts w:ascii="Calibri" w:hAnsi="Calibri"/>
                <w:b/>
                <w:color w:val="1B365D"/>
                <w:sz w:val="17"/>
              </w:rPr>
              <w:t>AI-Driven Complex Emotion Recognition Using Facial Expression Images</w:t>
            </w:r>
          </w:p>
        </w:tc>
        <w:tc>
          <w:tcPr>
            <w:tcW w:type="dxa" w:w="2448"/>
            <w:shd w:fill="F0F4F8"/>
            <w:tcMar>
              <w:top w:w="60" w:type="dxa"/>
              <w:bottom w:w="60" w:type="dxa"/>
              <w:left w:w="80" w:type="dxa"/>
              <w:right w:w="80" w:type="dxa"/>
            </w:tcMar>
          </w:tcPr>
          <w:p>
            <w:pPr>
              <w:spacing w:after="0"/>
            </w:pPr>
            <w:r>
              <w:rPr>
                <w:rFonts w:ascii="Calibri" w:hAnsi="Calibri"/>
                <w:sz w:val="17"/>
              </w:rPr>
              <w:t>Deep Learning, Affective Computing, Computer Vision &amp; Generative AI</w:t>
            </w:r>
          </w:p>
        </w:tc>
        <w:tc>
          <w:tcPr>
            <w:tcW w:type="dxa" w:w="1728"/>
            <w:shd w:fill="F0F4F8"/>
            <w:tcMar>
              <w:top w:w="60" w:type="dxa"/>
              <w:bottom w:w="60" w:type="dxa"/>
              <w:left w:w="80" w:type="dxa"/>
              <w:right w:w="80" w:type="dxa"/>
            </w:tcMar>
          </w:tcPr>
          <w:p>
            <w:pPr>
              <w:spacing w:after="0"/>
            </w:pPr>
            <w:r>
              <w:rPr>
                <w:rFonts w:ascii="Calibri" w:hAnsi="Calibri"/>
                <w:color w:val="595959"/>
                <w:sz w:val="16"/>
              </w:rPr>
              <w:t>A16.docx</w:t>
            </w:r>
          </w:p>
        </w:tc>
      </w:tr>
      <w:tr>
        <w:tc>
          <w:tcPr>
            <w:tcW w:type="dxa" w:w="1296"/>
            <w:shd w:fill="FFFFFF"/>
            <w:tcMar>
              <w:top w:w="60" w:type="dxa"/>
              <w:bottom w:w="60" w:type="dxa"/>
              <w:left w:w="80" w:type="dxa"/>
              <w:right w:w="80" w:type="dxa"/>
            </w:tcMar>
          </w:tcPr>
          <w:p>
            <w:pPr>
              <w:spacing w:after="0"/>
              <w:jc w:val="center"/>
            </w:pPr>
            <w:r>
              <w:rPr>
                <w:rFonts w:ascii="Calibri" w:hAnsi="Calibri"/>
                <w:b/>
                <w:sz w:val="18"/>
              </w:rPr>
              <w:t>A-17</w:t>
            </w:r>
          </w:p>
        </w:tc>
        <w:tc>
          <w:tcPr>
            <w:tcW w:type="dxa" w:w="3888"/>
            <w:shd w:fill="FFFFFF"/>
            <w:tcMar>
              <w:top w:w="60" w:type="dxa"/>
              <w:bottom w:w="60" w:type="dxa"/>
              <w:left w:w="80" w:type="dxa"/>
              <w:right w:w="80" w:type="dxa"/>
            </w:tcMar>
          </w:tcPr>
          <w:p>
            <w:pPr>
              <w:spacing w:after="0"/>
            </w:pPr>
            <w:r>
              <w:rPr>
                <w:rFonts w:ascii="Calibri" w:hAnsi="Calibri"/>
                <w:b/>
                <w:color w:val="1B365D"/>
                <w:sz w:val="17"/>
              </w:rPr>
              <w:t>CropSight: Smart Crop Delivery with AI-Based Price and Quality Intelligence</w:t>
            </w:r>
          </w:p>
        </w:tc>
        <w:tc>
          <w:tcPr>
            <w:tcW w:type="dxa" w:w="2448"/>
            <w:shd w:fill="FFFFFF"/>
            <w:tcMar>
              <w:top w:w="60" w:type="dxa"/>
              <w:bottom w:w="60" w:type="dxa"/>
              <w:left w:w="80" w:type="dxa"/>
              <w:right w:w="80" w:type="dxa"/>
            </w:tcMar>
          </w:tcPr>
          <w:p>
            <w:pPr>
              <w:spacing w:after="0"/>
            </w:pPr>
            <w:r>
              <w:rPr>
                <w:rFonts w:ascii="Calibri" w:hAnsi="Calibri"/>
                <w:sz w:val="17"/>
              </w:rPr>
              <w:t>Artificial Intelligence, Machine Learning, IoT &amp; Agri-Supply Chain Optimization</w:t>
            </w:r>
          </w:p>
        </w:tc>
        <w:tc>
          <w:tcPr>
            <w:tcW w:type="dxa" w:w="1728"/>
            <w:shd w:fill="FFFFFF"/>
            <w:tcMar>
              <w:top w:w="60" w:type="dxa"/>
              <w:bottom w:w="60" w:type="dxa"/>
              <w:left w:w="80" w:type="dxa"/>
              <w:right w:w="80" w:type="dxa"/>
            </w:tcMar>
          </w:tcPr>
          <w:p>
            <w:pPr>
              <w:spacing w:after="0"/>
            </w:pPr>
            <w:r>
              <w:rPr>
                <w:rFonts w:ascii="Calibri" w:hAnsi="Calibri"/>
                <w:color w:val="595959"/>
                <w:sz w:val="16"/>
              </w:rPr>
              <w:t>A17.docx</w:t>
            </w:r>
          </w:p>
        </w:tc>
      </w:tr>
    </w:tbl>
    <w:p>
      <w:r>
        <w:br w:type="page"/>
      </w:r>
    </w:p>
    <w:p>
      <w:pPr>
        <w:spacing w:before="80" w:after="40"/>
      </w:pPr>
      <w:r>
        <w:rPr>
          <w:rFonts w:ascii="Calibri" w:hAnsi="Calibri"/>
          <w:b/>
          <w:color w:val="2E75B6"/>
          <w:sz w:val="22"/>
        </w:rPr>
        <w:t>PROJECT #01 — BATCH NO: A-01</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 Health Insurance Assistance Using LLM + RAG</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A-01</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Natural Language Processing &amp; InsurTech</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A1.docx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AI Health Insurance Assistance Using LLM + RAG addresses persistent barriers in accessibility and transparency across policy selection and claims management. The platform translates dense insurance documents into concise, user-ready insights by automatically extracting key attributes such as policy numbers, coverage limits, deductibles, exclusions, and benefit rules. A conversational interface enables users to ask policy-specific questions and receive grounded, plain-language answers that reference the relevant clauses, helping them understand what is covered, what is not, and the conditions that apply. By turning complex documentation into guided explanations, the system reduces dependence on expert intermediaries and empowers users to make informed decisions with confidence.</w:t>
            </w:r>
          </w:p>
          <w:p>
            <w:pPr>
              <w:spacing w:before="80" w:after="120" w:line="276" w:lineRule="auto"/>
              <w:jc w:val="both"/>
            </w:pPr>
            <w:r>
              <w:rPr>
                <w:rFonts w:ascii="Calibri" w:hAnsi="Calibri"/>
                <w:color w:val="262626"/>
                <w:sz w:val="20"/>
              </w:rPr>
              <w:t>Beyond document understanding, the assistant streamlines routine claim tasks with step-by-step guidance—pre-checks for eligibility, evidence checklists, and procedural instructions—while surfacing cost and coverage trade-offs to support plan comparison. Answers are anchored to retrieved policy content to improve reliability and traceability, and summaries highlight potential risks, exceptions, and next actions. The result is a user-centric experience that shortens decision cycles, improves policy comprehension, and lowers friction throughout the claims journey, laying a foundation for extensions such as proactive benefit notifications, integration with provider portals, and personalized recommendations aligned to individual needs.</w:t>
            </w:r>
          </w:p>
          <w:p>
            <w:pPr>
              <w:spacing w:before="160" w:after="0"/>
            </w:pPr>
            <w:r>
              <w:rPr>
                <w:rFonts w:ascii="Calibri" w:hAnsi="Calibri"/>
                <w:b/>
                <w:color w:val="1B365D"/>
                <w:sz w:val="19"/>
              </w:rPr>
              <w:t xml:space="preserve">Keywords: </w:t>
            </w:r>
            <w:r>
              <w:rPr>
                <w:rFonts w:ascii="Calibri" w:hAnsi="Calibri"/>
                <w:i/>
                <w:color w:val="262626"/>
                <w:sz w:val="19"/>
              </w:rPr>
              <w:t>Health Insurance Assistance, Large Language Models (LLM), Retrieval-Augmented Generation (RAG), Policy Comprehension, Claims Management, Context-Aware Q&amp;A, InsurTech.</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Core Architectural Capabilities</w:t>
      </w:r>
    </w:p>
    <w:p>
      <w:pPr>
        <w:pStyle w:val="ListBullet"/>
        <w:spacing w:before="20" w:after="40" w:line="276" w:lineRule="auto"/>
      </w:pPr>
      <w:r>
        <w:rPr>
          <w:rFonts w:ascii="Calibri" w:hAnsi="Calibri"/>
          <w:b/>
          <w:color w:val="262626"/>
          <w:sz w:val="20"/>
        </w:rPr>
        <w:t>Automated Policy Attribute Extraction:</w:t>
      </w:r>
      <w:r>
        <w:rPr>
          <w:rFonts w:ascii="Calibri" w:hAnsi="Calibri"/>
          <w:color w:val="262626"/>
          <w:sz w:val="20"/>
        </w:rPr>
        <w:t xml:space="preserve"> Identifies policy IDs, coverage limits, copays, deductibles, waiting periods, and exclusions.</w:t>
      </w:r>
    </w:p>
    <w:p>
      <w:pPr>
        <w:pStyle w:val="ListBullet"/>
        <w:spacing w:before="20" w:after="40" w:line="276" w:lineRule="auto"/>
      </w:pPr>
      <w:r>
        <w:rPr>
          <w:rFonts w:ascii="Calibri" w:hAnsi="Calibri"/>
          <w:b/>
          <w:color w:val="262626"/>
          <w:sz w:val="20"/>
        </w:rPr>
        <w:t>RAG Semantic Retrieval Engine:</w:t>
      </w:r>
      <w:r>
        <w:rPr>
          <w:rFonts w:ascii="Calibri" w:hAnsi="Calibri"/>
          <w:color w:val="262626"/>
          <w:sz w:val="20"/>
        </w:rPr>
        <w:t xml:space="preserve"> Searches dense policy clauses to ground LLM responses strictly in uploaded contract PDFs.</w:t>
      </w:r>
    </w:p>
    <w:p>
      <w:pPr>
        <w:pStyle w:val="ListBullet"/>
        <w:spacing w:before="20" w:after="40" w:line="276" w:lineRule="auto"/>
      </w:pPr>
      <w:r>
        <w:rPr>
          <w:rFonts w:ascii="Calibri" w:hAnsi="Calibri"/>
          <w:b/>
          <w:color w:val="262626"/>
          <w:sz w:val="20"/>
        </w:rPr>
        <w:t>Guided Claim Pre-Check Assistant:</w:t>
      </w:r>
      <w:r>
        <w:rPr>
          <w:rFonts w:ascii="Calibri" w:hAnsi="Calibri"/>
          <w:color w:val="262626"/>
          <w:sz w:val="20"/>
        </w:rPr>
        <w:t xml:space="preserve"> Validates eligibility requirements and generates evidence checklists for claim filing.</w:t>
      </w:r>
    </w:p>
    <w:p>
      <w:pPr>
        <w:pStyle w:val="ListBullet"/>
        <w:spacing w:before="20" w:after="40" w:line="276" w:lineRule="auto"/>
      </w:pPr>
      <w:r>
        <w:rPr>
          <w:rFonts w:ascii="Calibri" w:hAnsi="Calibri"/>
          <w:b/>
          <w:color w:val="262626"/>
          <w:sz w:val="20"/>
        </w:rPr>
        <w:t>Transparent Cost Trade-Off Comparison:</w:t>
      </w:r>
      <w:r>
        <w:rPr>
          <w:rFonts w:ascii="Calibri" w:hAnsi="Calibri"/>
          <w:color w:val="262626"/>
          <w:sz w:val="20"/>
        </w:rPr>
        <w:t xml:space="preserve"> Evaluates multiple insurance plans against personalized user health risk profiles.</w:t>
      </w:r>
    </w:p>
    <w:p>
      <w:pPr>
        <w:spacing w:before="160" w:after="40"/>
      </w:pPr>
      <w:r>
        <w:rPr>
          <w:rFonts w:ascii="Calibri" w:hAnsi="Calibri"/>
          <w:b/>
          <w:color w:val="2E75B6"/>
          <w:sz w:val="22"/>
        </w:rPr>
        <w:t>Expected Impact</w:t>
      </w:r>
    </w:p>
    <w:p>
      <w:pPr>
        <w:spacing w:before="40" w:after="80" w:line="276" w:lineRule="auto"/>
        <w:jc w:val="both"/>
      </w:pPr>
      <w:r>
        <w:rPr>
          <w:rFonts w:ascii="Calibri" w:hAnsi="Calibri"/>
          <w:color w:val="262626"/>
          <w:sz w:val="20"/>
        </w:rPr>
        <w:t>Drastically reduces policy ambiguity, minimizes claim rejection rates caused by misunderstanding fine-print exclusions, and democratizes legal/insurance comprehension.</w:t>
      </w:r>
    </w:p>
    <w:p>
      <w:r>
        <w:br w:type="page"/>
      </w:r>
    </w:p>
    <w:p>
      <w:pPr>
        <w:spacing w:before="80" w:after="40"/>
      </w:pPr>
      <w:r>
        <w:rPr>
          <w:rFonts w:ascii="Calibri" w:hAnsi="Calibri"/>
          <w:b/>
          <w:color w:val="2E75B6"/>
          <w:sz w:val="22"/>
        </w:rPr>
        <w:t>PROJECT #02 — BATCH NO: A-02</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Attendance Magic: A Smart Geo-Fenced Attendance System with Live Challenge Verification</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A-02</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Computer Vision, Cybersecurity &amp; Mobile/Web Systems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A2.docx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Attendance Magic is a secure, AI-assisted attendance management system designed to reduce proxy attendance, manual attendance errors, and the time required to record attendance in educational institutions. The system provides a digital attendance workflow in which faculty members can create time-bound attendance sessions with configurable geographic boundaries and students can access the session through a unique attendance link.</w:t>
            </w:r>
          </w:p>
          <w:p>
            <w:pPr>
              <w:spacing w:before="80" w:after="120" w:line="276" w:lineRule="auto"/>
              <w:jc w:val="both"/>
            </w:pPr>
            <w:r>
              <w:rPr>
                <w:rFonts w:ascii="Calibri" w:hAnsi="Calibri"/>
                <w:color w:val="262626"/>
                <w:sz w:val="20"/>
              </w:rPr>
              <w:t>To improve attendance security, the system combines JWT-based authentication, GPS-based location verification, session expiration, device identification, and roll-number restrictions. In addition, an AI-based facial verification mechanism is being integrated to make proxy attendance significantly more difficult. After successful location verification, the student is required to complete a random live facial challenge such as turning the head in a specified direction. The system uses MediaPipe for real-time facial landmark and challenge detection and InsightFace for facial feature embedding and similarity comparison. After successful verification, the system automatically captures the student's face and checks it against faces already recorded for that particular attendance session, preventing the same person from attempting attendance again using another identity.</w:t>
            </w:r>
          </w:p>
          <w:p>
            <w:pPr>
              <w:spacing w:before="80" w:after="120" w:line="276" w:lineRule="auto"/>
              <w:jc w:val="both"/>
            </w:pPr>
            <w:r>
              <w:rPr>
                <w:rFonts w:ascii="Calibri" w:hAnsi="Calibri"/>
                <w:color w:val="262626"/>
                <w:sz w:val="20"/>
              </w:rPr>
              <w:t>The system uses React and Tailwind CSS for the frontend, Django REST Framework with JWT authentication for the backend, and PostgreSQL hosted on Supabase for data storage. Attendance records can also be viewed through summaries and lists and exported to Excel. Overall, Attendance Magic aims to provide a fast, scalable, and secure digital attendance solution that minimizes proxy attendance while reducing administrative effort for faculty and improving the reliability of attendance records.</w:t>
            </w:r>
          </w:p>
          <w:p>
            <w:pPr>
              <w:spacing w:before="160" w:after="0"/>
            </w:pPr>
            <w:r>
              <w:rPr>
                <w:rFonts w:ascii="Calibri" w:hAnsi="Calibri"/>
                <w:b/>
                <w:color w:val="1B365D"/>
                <w:sz w:val="19"/>
              </w:rPr>
              <w:t xml:space="preserve">Keywords: </w:t>
            </w:r>
            <w:r>
              <w:rPr>
                <w:rFonts w:ascii="Calibri" w:hAnsi="Calibri"/>
                <w:i/>
                <w:color w:val="262626"/>
                <w:sz w:val="19"/>
              </w:rPr>
              <w:t>Geo-Fencing Attendance, Live Challenge Verification, MediaPipe, InsightFace, Anti-Spoofing, Facial Feature Embeddings, Django REST Framework, React, Supabase PostgreSQL.</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Multi-Factor Security Pipeline</w:t>
      </w:r>
    </w:p>
    <w:p>
      <w:pPr>
        <w:pStyle w:val="ListBullet"/>
        <w:spacing w:before="20" w:after="40" w:line="276" w:lineRule="auto"/>
      </w:pPr>
      <w:r>
        <w:rPr>
          <w:rFonts w:ascii="Calibri" w:hAnsi="Calibri"/>
          <w:b/>
          <w:color w:val="262626"/>
          <w:sz w:val="20"/>
        </w:rPr>
        <w:t>GPS Geo-Fencing:</w:t>
      </w:r>
      <w:r>
        <w:rPr>
          <w:rFonts w:ascii="Calibri" w:hAnsi="Calibri"/>
          <w:color w:val="262626"/>
          <w:sz w:val="20"/>
        </w:rPr>
        <w:t xml:space="preserve"> Enforces configurable polygon/radius boundaries around lecture halls.</w:t>
      </w:r>
    </w:p>
    <w:p>
      <w:pPr>
        <w:pStyle w:val="ListBullet"/>
        <w:spacing w:before="20" w:after="40" w:line="276" w:lineRule="auto"/>
      </w:pPr>
      <w:r>
        <w:rPr>
          <w:rFonts w:ascii="Calibri" w:hAnsi="Calibri"/>
          <w:b/>
          <w:color w:val="262626"/>
          <w:sz w:val="20"/>
        </w:rPr>
        <w:t>Liveness Anti-Spoofing Challenge:</w:t>
      </w:r>
      <w:r>
        <w:rPr>
          <w:rFonts w:ascii="Calibri" w:hAnsi="Calibri"/>
          <w:color w:val="262626"/>
          <w:sz w:val="20"/>
        </w:rPr>
        <w:t xml:space="preserve"> Random motion challenge (e.g., turn head left/right, blink) via MediaPipe landmarks.</w:t>
      </w:r>
    </w:p>
    <w:p>
      <w:pPr>
        <w:pStyle w:val="ListBullet"/>
        <w:spacing w:before="20" w:after="40" w:line="276" w:lineRule="auto"/>
      </w:pPr>
      <w:r>
        <w:rPr>
          <w:rFonts w:ascii="Calibri" w:hAnsi="Calibri"/>
          <w:b/>
          <w:color w:val="262626"/>
          <w:sz w:val="20"/>
        </w:rPr>
        <w:t>InsightFace Feature Embedding:</w:t>
      </w:r>
      <w:r>
        <w:rPr>
          <w:rFonts w:ascii="Calibri" w:hAnsi="Calibri"/>
          <w:color w:val="262626"/>
          <w:sz w:val="20"/>
        </w:rPr>
        <w:t xml:space="preserve"> 512-dimensional facial embedding match against registered student profile.</w:t>
      </w:r>
    </w:p>
    <w:p>
      <w:pPr>
        <w:pStyle w:val="ListBullet"/>
        <w:spacing w:before="20" w:after="40" w:line="276" w:lineRule="auto"/>
      </w:pPr>
      <w:r>
        <w:rPr>
          <w:rFonts w:ascii="Calibri" w:hAnsi="Calibri"/>
          <w:b/>
          <w:color w:val="262626"/>
          <w:sz w:val="20"/>
        </w:rPr>
        <w:t>Intra-Session Anti-Collusion Check:</w:t>
      </w:r>
      <w:r>
        <w:rPr>
          <w:rFonts w:ascii="Calibri" w:hAnsi="Calibri"/>
          <w:color w:val="262626"/>
          <w:sz w:val="20"/>
        </w:rPr>
        <w:t xml:space="preserve"> Verifies that the captured biometric hash has not been submitted by any other student in the same session.</w:t>
      </w:r>
    </w:p>
    <w:p>
      <w:pPr>
        <w:spacing w:before="160" w:after="40"/>
      </w:pPr>
      <w:r>
        <w:rPr>
          <w:rFonts w:ascii="Calibri" w:hAnsi="Calibri"/>
          <w:b/>
          <w:color w:val="2E75B6"/>
          <w:sz w:val="22"/>
        </w:rPr>
        <w:t>Technology Stack</w:t>
      </w:r>
    </w:p>
    <w:p>
      <w:pPr>
        <w:pStyle w:val="ListBullet"/>
        <w:spacing w:before="20" w:after="40" w:line="276" w:lineRule="auto"/>
      </w:pPr>
      <w:r>
        <w:rPr>
          <w:rFonts w:ascii="Calibri" w:hAnsi="Calibri"/>
          <w:b/>
          <w:color w:val="262626"/>
          <w:sz w:val="20"/>
        </w:rPr>
        <w:t xml:space="preserve">Frontend: </w:t>
      </w:r>
      <w:r>
        <w:rPr>
          <w:rFonts w:ascii="Calibri" w:hAnsi="Calibri"/>
          <w:color w:val="262626"/>
          <w:sz w:val="20"/>
        </w:rPr>
        <w:t>React.js, Tailwind CSS</w:t>
      </w:r>
    </w:p>
    <w:p>
      <w:pPr>
        <w:pStyle w:val="ListBullet"/>
        <w:spacing w:before="20" w:after="40" w:line="276" w:lineRule="auto"/>
      </w:pPr>
      <w:r>
        <w:rPr>
          <w:rFonts w:ascii="Calibri" w:hAnsi="Calibri"/>
          <w:b/>
          <w:color w:val="262626"/>
          <w:sz w:val="20"/>
        </w:rPr>
        <w:t xml:space="preserve">Backend: </w:t>
      </w:r>
      <w:r>
        <w:rPr>
          <w:rFonts w:ascii="Calibri" w:hAnsi="Calibri"/>
          <w:color w:val="262626"/>
          <w:sz w:val="20"/>
        </w:rPr>
        <w:t>Django REST Framework (Python), JWT Authentication</w:t>
      </w:r>
    </w:p>
    <w:p>
      <w:pPr>
        <w:pStyle w:val="ListBullet"/>
        <w:spacing w:before="20" w:after="40" w:line="276" w:lineRule="auto"/>
      </w:pPr>
      <w:r>
        <w:rPr>
          <w:rFonts w:ascii="Calibri" w:hAnsi="Calibri"/>
          <w:b/>
          <w:color w:val="262626"/>
          <w:sz w:val="20"/>
        </w:rPr>
        <w:t xml:space="preserve">Computer Vision &amp; AI: </w:t>
      </w:r>
      <w:r>
        <w:rPr>
          <w:rFonts w:ascii="Calibri" w:hAnsi="Calibri"/>
          <w:color w:val="262626"/>
          <w:sz w:val="20"/>
        </w:rPr>
        <w:t>Google MediaPipe, InsightFace ArcFace Models</w:t>
      </w:r>
    </w:p>
    <w:p>
      <w:pPr>
        <w:pStyle w:val="ListBullet"/>
        <w:spacing w:before="20" w:after="40" w:line="276" w:lineRule="auto"/>
      </w:pPr>
      <w:r>
        <w:rPr>
          <w:rFonts w:ascii="Calibri" w:hAnsi="Calibri"/>
          <w:b/>
          <w:color w:val="262626"/>
          <w:sz w:val="20"/>
        </w:rPr>
        <w:t xml:space="preserve">Database &amp; Cloud: </w:t>
      </w:r>
      <w:r>
        <w:rPr>
          <w:rFonts w:ascii="Calibri" w:hAnsi="Calibri"/>
          <w:color w:val="262626"/>
          <w:sz w:val="20"/>
        </w:rPr>
        <w:t>PostgreSQL hosted on Supabase, Excel Export Utility</w:t>
      </w:r>
    </w:p>
    <w:p>
      <w:r>
        <w:br w:type="page"/>
      </w:r>
    </w:p>
    <w:p>
      <w:pPr>
        <w:spacing w:before="80" w:after="40"/>
      </w:pPr>
      <w:r>
        <w:rPr>
          <w:rFonts w:ascii="Calibri" w:hAnsi="Calibri"/>
          <w:b/>
          <w:color w:val="2E75B6"/>
          <w:sz w:val="22"/>
        </w:rPr>
        <w:t>PROJECT #03 — BATCH NO: A-03</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 Dynamic Phishing URL Detection System Integrating Advanced Machine Learning and Crowdsourced Threat Intelligence</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A-03</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Cybersecurity, Machine Learning &amp; Threat Intelligence</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A3.docx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Phishing attacks have become one of the most significant cybersecurity threats, targeting individuals and organizations by using deceptive websites to steal sensitive information such as usernames, passwords, banking credentials, and personal data. Traditional phishing detection techniques, which primarily rely on static blacklists or manually updated databases, often fail to identify newly emerging (zero-day) phishing websites. To address this challenge, this project proposes 'A Dynamic Phishing URL Detection System Integrating Advanced Machine Learning and Crowdsourced Threat Intelligence.'</w:t>
            </w:r>
          </w:p>
          <w:p>
            <w:pPr>
              <w:spacing w:before="80" w:after="120" w:line="276" w:lineRule="auto"/>
              <w:jc w:val="both"/>
            </w:pPr>
            <w:r>
              <w:rPr>
                <w:rFonts w:ascii="Calibri" w:hAnsi="Calibri"/>
                <w:color w:val="262626"/>
                <w:sz w:val="20"/>
              </w:rPr>
              <w:t>The proposed system utilizes advanced Machine Learning algorithms to analyze and classify URLs based on multiple lexical, structural, and domain-based features, enabling the detection of malicious websites with high accuracy. In addition to machine learning, the system integrates crowdsourced threat intelligence collected from trusted cybersecurity communities and threat-sharing platforms. This continuously updated threat data enhances the model's ability to recognize newly discovered phishing URLs and adapt to evolving attack patterns.</w:t>
            </w:r>
          </w:p>
          <w:p>
            <w:pPr>
              <w:spacing w:before="80" w:after="120" w:line="276" w:lineRule="auto"/>
              <w:jc w:val="both"/>
            </w:pPr>
            <w:r>
              <w:rPr>
                <w:rFonts w:ascii="Calibri" w:hAnsi="Calibri"/>
                <w:color w:val="262626"/>
                <w:sz w:val="20"/>
              </w:rPr>
              <w:t>The system follows a complete pipeline that includes data collection, preprocessing, feature extraction, model training, phishing URL classification, and real-time threat intelligence integration. Multiple machine learning algorithms, such as Random Forest, XGBoost, and Logistic Regression, can be evaluated to identify the model with the best performance in terms of accuracy, precision, recall, and F1-score. By combining predictive machine learning with real-time threat intelligence, the proposed solution provides faster detection, improved adaptability, and reduced false positives compared to conventional phishing detection methods.</w:t>
            </w:r>
          </w:p>
          <w:p>
            <w:pPr>
              <w:spacing w:before="160" w:after="0"/>
            </w:pPr>
            <w:r>
              <w:rPr>
                <w:rFonts w:ascii="Calibri" w:hAnsi="Calibri"/>
                <w:b/>
                <w:color w:val="1B365D"/>
                <w:sz w:val="19"/>
              </w:rPr>
              <w:t xml:space="preserve">Keywords: </w:t>
            </w:r>
            <w:r>
              <w:rPr>
                <w:rFonts w:ascii="Calibri" w:hAnsi="Calibri"/>
                <w:i/>
                <w:color w:val="262626"/>
                <w:sz w:val="19"/>
              </w:rPr>
              <w:t>Phishing Detection, URL Feature Engineering, Machine Learning, Crowdsourced Threat Intelligence, XGBoost, Random Forest, Zero-Day Phishing, Lexical Analysis.</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Feature Engineering Dimensions</w:t>
      </w:r>
    </w:p>
    <w:p>
      <w:pPr>
        <w:pStyle w:val="ListBullet"/>
        <w:spacing w:before="20" w:after="40" w:line="276" w:lineRule="auto"/>
      </w:pPr>
      <w:r>
        <w:rPr>
          <w:rFonts w:ascii="Calibri" w:hAnsi="Calibri"/>
          <w:b/>
          <w:color w:val="262626"/>
          <w:sz w:val="20"/>
        </w:rPr>
        <w:t>Lexical &amp; String Features:</w:t>
      </w:r>
      <w:r>
        <w:rPr>
          <w:rFonts w:ascii="Calibri" w:hAnsi="Calibri"/>
          <w:color w:val="262626"/>
          <w:sz w:val="20"/>
        </w:rPr>
        <w:t xml:space="preserve"> URL length, entropy, special symbol ratios (@, //, -, _), sub-domain depth, and IP address host indicators.</w:t>
      </w:r>
    </w:p>
    <w:p>
      <w:pPr>
        <w:pStyle w:val="ListBullet"/>
        <w:spacing w:before="20" w:after="40" w:line="276" w:lineRule="auto"/>
      </w:pPr>
      <w:r>
        <w:rPr>
          <w:rFonts w:ascii="Calibri" w:hAnsi="Calibri"/>
          <w:b/>
          <w:color w:val="262626"/>
          <w:sz w:val="20"/>
        </w:rPr>
        <w:t>Structural &amp; HTML Features:</w:t>
      </w:r>
      <w:r>
        <w:rPr>
          <w:rFonts w:ascii="Calibri" w:hAnsi="Calibri"/>
          <w:color w:val="262626"/>
          <w:sz w:val="20"/>
        </w:rPr>
        <w:t xml:space="preserve"> Form action URLs, iframe embeds, disabled right-click scripts, and external anchor ratios.</w:t>
      </w:r>
    </w:p>
    <w:p>
      <w:pPr>
        <w:pStyle w:val="ListBullet"/>
        <w:spacing w:before="20" w:after="40" w:line="276" w:lineRule="auto"/>
      </w:pPr>
      <w:r>
        <w:rPr>
          <w:rFonts w:ascii="Calibri" w:hAnsi="Calibri"/>
          <w:b/>
          <w:color w:val="262626"/>
          <w:sz w:val="20"/>
        </w:rPr>
        <w:t>Domain &amp; Network Attributes:</w:t>
      </w:r>
      <w:r>
        <w:rPr>
          <w:rFonts w:ascii="Calibri" w:hAnsi="Calibri"/>
          <w:color w:val="262626"/>
          <w:sz w:val="20"/>
        </w:rPr>
        <w:t xml:space="preserve"> WHOIS domain age, DNS TTL values, SSL/TLS certificate validity, and Alexa/Tranco rank.</w:t>
      </w:r>
    </w:p>
    <w:p>
      <w:pPr>
        <w:pStyle w:val="ListBullet"/>
        <w:spacing w:before="20" w:after="40" w:line="276" w:lineRule="auto"/>
      </w:pPr>
      <w:r>
        <w:rPr>
          <w:rFonts w:ascii="Calibri" w:hAnsi="Calibri"/>
          <w:b/>
          <w:color w:val="262626"/>
          <w:sz w:val="20"/>
        </w:rPr>
        <w:t>Crowdsourced Threat Ingestion:</w:t>
      </w:r>
      <w:r>
        <w:rPr>
          <w:rFonts w:ascii="Calibri" w:hAnsi="Calibri"/>
          <w:color w:val="262626"/>
          <w:sz w:val="20"/>
        </w:rPr>
        <w:t xml:space="preserve"> Continuous synchronization with live community threat feeds.</w:t>
      </w:r>
    </w:p>
    <w:p>
      <w:pPr>
        <w:spacing w:before="160" w:after="40"/>
      </w:pPr>
      <w:r>
        <w:rPr>
          <w:rFonts w:ascii="Calibri" w:hAnsi="Calibri"/>
          <w:b/>
          <w:color w:val="2E75B6"/>
          <w:sz w:val="22"/>
        </w:rPr>
        <w:t>Algorithms Evaluated</w:t>
      </w:r>
    </w:p>
    <w:p>
      <w:pPr>
        <w:spacing w:before="40" w:after="80" w:line="276" w:lineRule="auto"/>
        <w:jc w:val="both"/>
      </w:pPr>
      <w:r>
        <w:rPr>
          <w:rFonts w:ascii="Calibri" w:hAnsi="Calibri"/>
          <w:color w:val="262626"/>
          <w:sz w:val="20"/>
        </w:rPr>
        <w:t>Random Forest, XGBoost Classifier, Logistic Regression, LightGBM.</w:t>
      </w:r>
    </w:p>
    <w:p>
      <w:pPr>
        <w:spacing w:before="160" w:after="40"/>
      </w:pPr>
      <w:r>
        <w:rPr>
          <w:rFonts w:ascii="Calibri" w:hAnsi="Calibri"/>
          <w:b/>
          <w:color w:val="2E75B6"/>
          <w:sz w:val="22"/>
        </w:rPr>
        <w:t>Outcome</w:t>
      </w:r>
    </w:p>
    <w:p>
      <w:pPr>
        <w:spacing w:before="40" w:after="80" w:line="276" w:lineRule="auto"/>
        <w:jc w:val="both"/>
      </w:pPr>
      <w:r>
        <w:rPr>
          <w:rFonts w:ascii="Calibri" w:hAnsi="Calibri"/>
          <w:color w:val="262626"/>
          <w:sz w:val="20"/>
        </w:rPr>
        <w:t>Delivers zero-day protection against ephemeral phishing landing pages with low latency browser-level scoring.</w:t>
      </w:r>
    </w:p>
    <w:p>
      <w:r>
        <w:br w:type="page"/>
      </w:r>
    </w:p>
    <w:p>
      <w:pPr>
        <w:spacing w:before="80" w:after="40"/>
      </w:pPr>
      <w:r>
        <w:rPr>
          <w:rFonts w:ascii="Calibri" w:hAnsi="Calibri"/>
          <w:b/>
          <w:color w:val="2E75B6"/>
          <w:sz w:val="22"/>
        </w:rPr>
        <w:t>PROJECT #04 — BATCH NO: A-04</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Advanced Optimization in E-Commerce Logistics: Combining Matheuristics With Random Forests for Hub Location Efficiency</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A-04</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Data Science, Machine Learning &amp; Supply Chain Operations Research</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A4.docx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rapid growth of e-commerce has significantly increased the demand for fast, reliable, and cost-effective logistics services. One of the most critical challenges in supply chain management is identifying optimal hub locations that minimize transportation costs while ensuring timely deliveries. Conventional optimization techniques often fail to respond efficiently to dynamic customer demand and changing operational conditions. This study presents an advanced optimization framework that combines matheuristic techniques with the Random Forest machine learning algorithm to improve hub location efficiency in e-commerce logistics.</w:t>
            </w:r>
          </w:p>
          <w:p>
            <w:pPr>
              <w:spacing w:before="80" w:after="120" w:line="276" w:lineRule="auto"/>
              <w:jc w:val="both"/>
            </w:pPr>
            <w:r>
              <w:rPr>
                <w:rFonts w:ascii="Calibri" w:hAnsi="Calibri"/>
                <w:color w:val="262626"/>
                <w:sz w:val="20"/>
              </w:rPr>
              <w:t>The proposed framework utilizes the Random Forest algorithm to analyze historical logistics data and accurately predict future demand patterns. These predictions are integrated into a matheuristic optimization model that determines the most suitable hub locations by considering factors such as transportation costs, delivery time, hub capacity, and network constraints. By combining predictive analytics with mathematical optimization, the model can dynamically adapt hub configurations to changing business requirements, resulting in better resource utilization and improved logistics performance.</w:t>
            </w:r>
          </w:p>
          <w:p>
            <w:pPr>
              <w:spacing w:before="80" w:after="120" w:line="276" w:lineRule="auto"/>
              <w:jc w:val="both"/>
            </w:pPr>
            <w:r>
              <w:rPr>
                <w:rFonts w:ascii="Calibri" w:hAnsi="Calibri"/>
                <w:color w:val="262626"/>
                <w:sz w:val="20"/>
              </w:rPr>
              <w:t>The proposed approach is validated using real-world logistics data, and the experimental results demonstrate its effectiveness compared with traditional hub location methods. The integrated model achieves better delivery time performance, higher order fulfillment rates, and improved network reliability while reducing overall operational costs. The study highlights the benefits of combining machine learning with optimization techniques for intelligent logistics planning and provides a practical solution for enhancing supply chain efficiency in the rapidly evolving e-commerce industry.</w:t>
            </w:r>
          </w:p>
          <w:p>
            <w:pPr>
              <w:spacing w:before="160" w:after="0"/>
            </w:pPr>
            <w:r>
              <w:rPr>
                <w:rFonts w:ascii="Calibri" w:hAnsi="Calibri"/>
                <w:b/>
                <w:color w:val="1B365D"/>
                <w:sz w:val="19"/>
              </w:rPr>
              <w:t xml:space="preserve">Keywords: </w:t>
            </w:r>
            <w:r>
              <w:rPr>
                <w:rFonts w:ascii="Calibri" w:hAnsi="Calibri"/>
                <w:i/>
                <w:color w:val="262626"/>
                <w:sz w:val="19"/>
              </w:rPr>
              <w:t>E-Commerce Logistics, Hub Location Problem (HLP), Matheuristics, Random Forest Regressor, Demand Forecasting, Mathematical Optimization, Supply Chain Efficiency.</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Hybrid Predictive-Optimization Workflow</w:t>
      </w:r>
    </w:p>
    <w:p>
      <w:pPr>
        <w:pStyle w:val="ListBullet"/>
        <w:spacing w:before="20" w:after="40" w:line="276" w:lineRule="auto"/>
      </w:pPr>
      <w:r>
        <w:rPr>
          <w:rFonts w:ascii="Calibri" w:hAnsi="Calibri"/>
          <w:b/>
          <w:color w:val="262626"/>
          <w:sz w:val="20"/>
        </w:rPr>
        <w:t>Predictive Demand Phase:</w:t>
      </w:r>
      <w:r>
        <w:rPr>
          <w:rFonts w:ascii="Calibri" w:hAnsi="Calibri"/>
          <w:color w:val="262626"/>
          <w:sz w:val="20"/>
        </w:rPr>
        <w:t xml:space="preserve"> Random Forest models predict regional spatial order velocities and seasonal spikes.</w:t>
      </w:r>
    </w:p>
    <w:p>
      <w:pPr>
        <w:pStyle w:val="ListBullet"/>
        <w:spacing w:before="20" w:after="40" w:line="276" w:lineRule="auto"/>
      </w:pPr>
      <w:r>
        <w:rPr>
          <w:rFonts w:ascii="Calibri" w:hAnsi="Calibri"/>
          <w:b/>
          <w:color w:val="262626"/>
          <w:sz w:val="20"/>
        </w:rPr>
        <w:t>Matheuristic Optimization Phase:</w:t>
      </w:r>
      <w:r>
        <w:rPr>
          <w:rFonts w:ascii="Calibri" w:hAnsi="Calibri"/>
          <w:color w:val="262626"/>
          <w:sz w:val="20"/>
        </w:rPr>
        <w:t xml:space="preserve"> Integrates mathematical programming (MIP) with heuristic search to solve NP-hard Capacitated Hub Location Problems.</w:t>
      </w:r>
    </w:p>
    <w:p>
      <w:pPr>
        <w:pStyle w:val="ListBullet"/>
        <w:spacing w:before="20" w:after="40" w:line="276" w:lineRule="auto"/>
      </w:pPr>
      <w:r>
        <w:rPr>
          <w:rFonts w:ascii="Calibri" w:hAnsi="Calibri"/>
          <w:b/>
          <w:color w:val="262626"/>
          <w:sz w:val="20"/>
        </w:rPr>
        <w:t>Dynamic Constraint Accounting:</w:t>
      </w:r>
      <w:r>
        <w:rPr>
          <w:rFonts w:ascii="Calibri" w:hAnsi="Calibri"/>
          <w:color w:val="262626"/>
          <w:sz w:val="20"/>
        </w:rPr>
        <w:t xml:space="preserve"> Incorporates maximum delivery SLA thresholds, warehouse throughput limits, fleet mileage costs, and road network topologies.</w:t>
      </w:r>
    </w:p>
    <w:p>
      <w:pPr>
        <w:spacing w:before="160" w:after="40"/>
      </w:pPr>
      <w:r>
        <w:rPr>
          <w:rFonts w:ascii="Calibri" w:hAnsi="Calibri"/>
          <w:b/>
          <w:color w:val="2E75B6"/>
          <w:sz w:val="22"/>
        </w:rPr>
        <w:t>Experimental Validation</w:t>
      </w:r>
    </w:p>
    <w:p>
      <w:pPr>
        <w:spacing w:before="40" w:after="80" w:line="276" w:lineRule="auto"/>
        <w:jc w:val="both"/>
      </w:pPr>
      <w:r>
        <w:rPr>
          <w:rFonts w:ascii="Calibri" w:hAnsi="Calibri"/>
          <w:color w:val="262626"/>
          <w:sz w:val="20"/>
        </w:rPr>
        <w:t>Evaluated on real-world e-commerce logistics benchmarks, demonstrating significant reductions in last-mile transportation expenditures and late order delivery penalties.</w:t>
      </w:r>
    </w:p>
    <w:p>
      <w:r>
        <w:br w:type="page"/>
      </w:r>
    </w:p>
    <w:p>
      <w:pPr>
        <w:spacing w:before="80" w:after="40"/>
      </w:pPr>
      <w:r>
        <w:rPr>
          <w:rFonts w:ascii="Calibri" w:hAnsi="Calibri"/>
          <w:b/>
          <w:color w:val="2E75B6"/>
          <w:sz w:val="22"/>
        </w:rPr>
        <w:t>PROJECT #05 — BATCH NO: A-05</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JEPA-LLM Tuning Framework for Combating GST and Sales Tax Input Tax Credit Fraud Pattern Detection</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A-05</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Self-Supervised Learning &amp; Financial Forensic Analytics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A5.docx (DOCX Document)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Coordinator</w:t>
            </w:r>
          </w:p>
        </w:tc>
        <w:tc>
          <w:tcPr>
            <w:tcW w:type="dxa" w:w="6768"/>
            <w:shd w:fill="FAFCFF"/>
            <w:tcMar>
              <w:top w:w="80" w:type="dxa"/>
              <w:bottom w:w="80" w:type="dxa"/>
              <w:left w:w="120" w:type="dxa"/>
              <w:right w:w="120" w:type="dxa"/>
            </w:tcMar>
          </w:tcPr>
          <w:p>
            <w:pPr>
              <w:spacing w:after="0"/>
            </w:pPr>
            <w:r>
              <w:rPr>
                <w:rFonts w:ascii="Calibri" w:hAnsi="Calibri"/>
                <w:color w:val="262626"/>
                <w:sz w:val="19"/>
              </w:rPr>
              <w:t>A. MUTHU</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Faculty Guide</w:t>
            </w:r>
          </w:p>
        </w:tc>
        <w:tc>
          <w:tcPr>
            <w:tcW w:type="dxa" w:w="6768"/>
            <w:shd w:fill="FAFCFF"/>
            <w:tcMar>
              <w:top w:w="80" w:type="dxa"/>
              <w:bottom w:w="80" w:type="dxa"/>
              <w:left w:w="120" w:type="dxa"/>
              <w:right w:w="120" w:type="dxa"/>
            </w:tcMar>
          </w:tcPr>
          <w:p>
            <w:pPr>
              <w:spacing w:after="0"/>
            </w:pPr>
            <w:r>
              <w:rPr>
                <w:rFonts w:ascii="Calibri" w:hAnsi="Calibri"/>
                <w:color w:val="262626"/>
                <w:sz w:val="19"/>
              </w:rPr>
              <w:t>Dr. N. Ch. Ravi (Dept of CSE - Data Science)</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Goods and Services Tax (GST) and Sales Tax Input Tax Credit (ITC) fraud have become a major concern in modern tax administration due to the increasing use of fake invoices, circular trading, shell companies, and fraudulent credit claims. These frauds cause substantial revenue leakage and weaken the integrity of the taxation system by enabling taxpayers to claim illegitimate credits without genuine business transactions. Traditional fraud detection methods, which rely heavily on manual auditing, rule-based checks, and post-fraud investigation, are often slow, reactive, and insufficient for uncovering large-scale hidden fraud networks. In real-world GST ecosystems, fraud patterns are not always directly visible in individual transactions; instead, they emerge through complex behavioural, temporal, and relational patterns spread across multiple invoices, taxpayers, and filing cycles. This creates a strong need for an intelligent, scalable, and explainable fraud detection framework capable of learning hidden patterns from large volumes of tax data.</w:t>
            </w:r>
          </w:p>
          <w:p>
            <w:pPr>
              <w:spacing w:before="80" w:after="120" w:line="276" w:lineRule="auto"/>
              <w:jc w:val="both"/>
            </w:pPr>
            <w:r>
              <w:rPr>
                <w:rFonts w:ascii="Calibri" w:hAnsi="Calibri"/>
                <w:color w:val="262626"/>
                <w:sz w:val="20"/>
              </w:rPr>
              <w:t>To address this challenge, this project proposes a JEPA-LLM Tuning Framework for Combating GST and Sales Tax Input Tax Credit Fraud Pattern Detection. The framework combines domain-specific GST fraud knowledge, self-supervised representation learning, fraud scoring, and natural-language explanation to identify suspicious ITC claims more effectively. The proposed system is inspired by three major directions: GST fraud and forensic accounting analysis, hybrid AI-based financial fraud detection, and explainable multi-layer fraud assessment. At the domain level, the framework targets major GST/ITC fraud behaviours such as fake invoice generation, abnormal input credit claims, shell-entity participation, circular trading loops, invoice without actual movement of goods or services, and coordinated fraud among linked taxpayers.</w:t>
            </w:r>
          </w:p>
          <w:p>
            <w:pPr>
              <w:spacing w:before="80" w:after="120" w:line="276" w:lineRule="auto"/>
              <w:jc w:val="both"/>
            </w:pPr>
            <w:r>
              <w:rPr>
                <w:rFonts w:ascii="Calibri" w:hAnsi="Calibri"/>
                <w:color w:val="262626"/>
                <w:sz w:val="20"/>
              </w:rPr>
              <w:t>A core contribution of this project is the integration of Joint Embedding Predictive Architecture (JEPA) as the primary pattern-learning component. In this framework, JEPA is used as a self-supervised representation learning module that learns hidden behavioural structures from largely unlabeled GST data. Instead of depending only on fully labelled fraud examples, JEPA models the normal relationships among invoices, taxpayers, filing history, and transaction flows, and then learns compact predictive embeddings that represent expected GST behaviour. When a taxpayer, invoice sequence, or transaction network deviates significantly from these learned behavioural patterns, the system flags it as potentially suspicious.</w:t>
            </w:r>
          </w:p>
          <w:p>
            <w:pPr>
              <w:spacing w:before="160" w:after="0"/>
            </w:pPr>
            <w:r>
              <w:rPr>
                <w:rFonts w:ascii="Calibri" w:hAnsi="Calibri"/>
                <w:b/>
                <w:color w:val="1B365D"/>
                <w:sz w:val="19"/>
              </w:rPr>
              <w:t xml:space="preserve">Keywords: </w:t>
            </w:r>
            <w:r>
              <w:rPr>
                <w:rFonts w:ascii="Calibri" w:hAnsi="Calibri"/>
                <w:i/>
                <w:color w:val="262626"/>
                <w:sz w:val="19"/>
              </w:rPr>
              <w:t>GST Fraud Detection, Input Tax Credit (ITC) Fraud, Joint Embedding Predictive Architecture (JEPA), Self-Supervised Learning, Large Language Models (LLMs), Circular Trading, Forensic Accounting.</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Multi-Layer Fraud Feature Architecture</w:t>
      </w:r>
    </w:p>
    <w:p>
      <w:pPr>
        <w:pStyle w:val="ListBullet"/>
        <w:spacing w:before="20" w:after="40" w:line="276" w:lineRule="auto"/>
      </w:pPr>
      <w:r>
        <w:rPr>
          <w:rFonts w:ascii="Calibri" w:hAnsi="Calibri"/>
          <w:b/>
          <w:color w:val="262626"/>
          <w:sz w:val="20"/>
        </w:rPr>
        <w:t>Invoice-Level Layer:</w:t>
      </w:r>
      <w:r>
        <w:rPr>
          <w:rFonts w:ascii="Calibri" w:hAnsi="Calibri"/>
          <w:color w:val="262626"/>
          <w:sz w:val="20"/>
        </w:rPr>
        <w:t xml:space="preserve"> Tax value, credit claimed, filing frequency, duplicate invoice hashes, and date discrepancies.</w:t>
      </w:r>
    </w:p>
    <w:p>
      <w:pPr>
        <w:pStyle w:val="ListBullet"/>
        <w:spacing w:before="20" w:after="40" w:line="276" w:lineRule="auto"/>
      </w:pPr>
      <w:r>
        <w:rPr>
          <w:rFonts w:ascii="Calibri" w:hAnsi="Calibri"/>
          <w:b/>
          <w:color w:val="262626"/>
          <w:sz w:val="20"/>
        </w:rPr>
        <w:t>Taxpayer-Behavior Layer:</w:t>
      </w:r>
      <w:r>
        <w:rPr>
          <w:rFonts w:ascii="Calibri" w:hAnsi="Calibri"/>
          <w:color w:val="262626"/>
          <w:sz w:val="20"/>
        </w:rPr>
        <w:t xml:space="preserve"> Abrupt spikes in ITC utilization, outward vs inward declaration mismatches, and irregular filing cadences.</w:t>
      </w:r>
    </w:p>
    <w:p>
      <w:pPr>
        <w:pStyle w:val="ListBullet"/>
        <w:spacing w:before="20" w:after="40" w:line="276" w:lineRule="auto"/>
      </w:pPr>
      <w:r>
        <w:rPr>
          <w:rFonts w:ascii="Calibri" w:hAnsi="Calibri"/>
          <w:b/>
          <w:color w:val="262626"/>
          <w:sz w:val="20"/>
        </w:rPr>
        <w:t>Network &amp; Graph Layer:</w:t>
      </w:r>
      <w:r>
        <w:rPr>
          <w:rFonts w:ascii="Calibri" w:hAnsi="Calibri"/>
          <w:color w:val="262626"/>
          <w:sz w:val="20"/>
        </w:rPr>
        <w:t xml:space="preserve"> Buyer-seller trading loops, shared IP/bank credentials, shell company clusters, and synthetic turnover.</w:t>
      </w:r>
    </w:p>
    <w:p>
      <w:pPr>
        <w:pStyle w:val="ListBullet"/>
        <w:spacing w:before="20" w:after="40" w:line="276" w:lineRule="auto"/>
      </w:pPr>
      <w:r>
        <w:rPr>
          <w:rFonts w:ascii="Calibri" w:hAnsi="Calibri"/>
          <w:b/>
          <w:color w:val="262626"/>
          <w:sz w:val="20"/>
        </w:rPr>
        <w:t>LLM Explanation Layer:</w:t>
      </w:r>
      <w:r>
        <w:rPr>
          <w:rFonts w:ascii="Calibri" w:hAnsi="Calibri"/>
          <w:color w:val="262626"/>
          <w:sz w:val="20"/>
        </w:rPr>
        <w:t xml:space="preserve"> Generates narrative forensic audit reports detailing exact evidentiary trails for tax enforcement officers.</w:t>
      </w:r>
    </w:p>
    <w:p>
      <w:pPr>
        <w:spacing w:before="160" w:after="40"/>
      </w:pPr>
      <w:r>
        <w:rPr>
          <w:rFonts w:ascii="Calibri" w:hAnsi="Calibri"/>
          <w:b/>
          <w:color w:val="2E75B6"/>
          <w:sz w:val="22"/>
        </w:rPr>
        <w:t>Significance</w:t>
      </w:r>
    </w:p>
    <w:p>
      <w:pPr>
        <w:spacing w:before="40" w:after="80" w:line="276" w:lineRule="auto"/>
        <w:jc w:val="both"/>
      </w:pPr>
      <w:r>
        <w:rPr>
          <w:rFonts w:ascii="Calibri" w:hAnsi="Calibri"/>
          <w:color w:val="262626"/>
          <w:sz w:val="20"/>
        </w:rPr>
        <w:t>Overcomes the extreme scarcity of labeled tax fraud datasets by learning self-supervised regularities with JEPA and delivering interpretable legal rationales via fine-tuned LLMs.</w:t>
      </w:r>
    </w:p>
    <w:p>
      <w:r>
        <w:br w:type="page"/>
      </w:r>
    </w:p>
    <w:p>
      <w:pPr>
        <w:spacing w:before="80" w:after="40"/>
      </w:pPr>
      <w:r>
        <w:rPr>
          <w:rFonts w:ascii="Calibri" w:hAnsi="Calibri"/>
          <w:b/>
          <w:color w:val="2E75B6"/>
          <w:sz w:val="22"/>
        </w:rPr>
        <w:t>PROJECT #06 — BATCH NO: A-06</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Legal Contract Complexity &amp; Predatory Clause Detector</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A-06</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Legal NLP, Graph Databases &amp; Contract Intelligence</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A6.doc (DOC Document (Legacy Word))</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Legal contracts, particularly those involving individuals, freelancers, and small businesses, often contain complex, ambiguous, or predatory clauses that are difficult for non-experts to identify without the aid of a qualified legal professional. This asymmetry of information frequently leads to unfavorable outcomes for the weaker party in a contractual relationship, ranging from unfair termination conditions to hidden financial liabilities and one-sided arbitration terms. This project addresses this problem by presenting an AI-powered system for automatically assessing contract complexity and flagging potentially predatory clauses, with a specific focus on the Indian legal jurisdiction, where such automated tools remain scarce despite a large and growing base of gig workers, startups, and small enterprises entering into digital agreements.</w:t>
            </w:r>
          </w:p>
          <w:p>
            <w:pPr>
              <w:spacing w:before="80" w:after="120" w:line="276" w:lineRule="auto"/>
              <w:jc w:val="both"/>
            </w:pPr>
            <w:r>
              <w:rPr>
                <w:rFonts w:ascii="Calibri" w:hAnsi="Calibri"/>
                <w:color w:val="262626"/>
                <w:sz w:val="20"/>
              </w:rPr>
              <w:t>The system is built around a Retrieval-Augmented Generation (RAG) architecture that combines the Claude API for natural language understanding and reasoning with pgvector, a PostgreSQL extension, for efficient semantic similarity search over clause embeddings. A Neo4j graph database is used to model relationships between clause types, legal concepts, and precedent patterns, allowing the system to reason about how individual clauses relate to one another within the broader structure of a contract. This graph-based layer enables more nuanced detection of predatory patterns that may not be evident when a clause is analyzed in isolation, such as combinations of clauses that together create disproportionate risk for one party.</w:t>
            </w:r>
          </w:p>
          <w:p>
            <w:pPr>
              <w:spacing w:before="80" w:after="120" w:line="276" w:lineRule="auto"/>
              <w:jc w:val="both"/>
            </w:pPr>
            <w:r>
              <w:rPr>
                <w:rFonts w:ascii="Calibri" w:hAnsi="Calibri"/>
                <w:color w:val="262626"/>
                <w:sz w:val="20"/>
              </w:rPr>
              <w:t>The backend is implemented using FastAPI, chosen for its asynchronous request handling and strong support for building performant, well-documented REST APIs suited to machine learning inference workloads. The frontend is built with Next.js, providing a responsive interface through which users can upload contracts, view clause-level annotations, and receive a plain-language summary of identified risks. For training and evaluation, the system uses the Contract Understanding Atticus Dataset (CUAD), a widely used benchmark of expert-annotated commercial legal contracts.</w:t>
            </w:r>
          </w:p>
          <w:p>
            <w:pPr>
              <w:spacing w:before="160" w:after="0"/>
            </w:pPr>
            <w:r>
              <w:rPr>
                <w:rFonts w:ascii="Calibri" w:hAnsi="Calibri"/>
                <w:b/>
                <w:color w:val="1B365D"/>
                <w:sz w:val="19"/>
              </w:rPr>
              <w:t xml:space="preserve">Keywords: </w:t>
            </w:r>
            <w:r>
              <w:rPr>
                <w:rFonts w:ascii="Calibri" w:hAnsi="Calibri"/>
                <w:i/>
                <w:color w:val="262626"/>
                <w:sz w:val="19"/>
              </w:rPr>
              <w:t>Legal Contract Analysis, Predatory Clause Detection, Contract Understanding Atticus Dataset (CUAD), Claude API, RAG, pgvector, Neo4j Graph Database, Indian Contract Law, FastAPI, Next.js.</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System Architecture &amp; Technologies</w:t>
      </w:r>
    </w:p>
    <w:p>
      <w:pPr>
        <w:pStyle w:val="ListBullet"/>
        <w:spacing w:before="20" w:after="40" w:line="276" w:lineRule="auto"/>
      </w:pPr>
      <w:r>
        <w:rPr>
          <w:rFonts w:ascii="Calibri" w:hAnsi="Calibri"/>
          <w:b/>
          <w:color w:val="262626"/>
          <w:sz w:val="20"/>
        </w:rPr>
        <w:t xml:space="preserve">LLM &amp; Semantic Reasoning: </w:t>
      </w:r>
      <w:r>
        <w:rPr>
          <w:rFonts w:ascii="Calibri" w:hAnsi="Calibri"/>
          <w:color w:val="262626"/>
          <w:sz w:val="20"/>
        </w:rPr>
        <w:t>Claude API (Anthropic) for legal clause interpretation</w:t>
      </w:r>
    </w:p>
    <w:p>
      <w:pPr>
        <w:pStyle w:val="ListBullet"/>
        <w:spacing w:before="20" w:after="40" w:line="276" w:lineRule="auto"/>
      </w:pPr>
      <w:r>
        <w:rPr>
          <w:rFonts w:ascii="Calibri" w:hAnsi="Calibri"/>
          <w:b/>
          <w:color w:val="262626"/>
          <w:sz w:val="20"/>
        </w:rPr>
        <w:t xml:space="preserve">Vector Database: </w:t>
      </w:r>
      <w:r>
        <w:rPr>
          <w:rFonts w:ascii="Calibri" w:hAnsi="Calibri"/>
          <w:color w:val="262626"/>
          <w:sz w:val="20"/>
        </w:rPr>
        <w:t>PostgreSQL with pgvector extension for clause embedding similarity</w:t>
      </w:r>
    </w:p>
    <w:p>
      <w:pPr>
        <w:pStyle w:val="ListBullet"/>
        <w:spacing w:before="20" w:after="40" w:line="276" w:lineRule="auto"/>
      </w:pPr>
      <w:r>
        <w:rPr>
          <w:rFonts w:ascii="Calibri" w:hAnsi="Calibri"/>
          <w:b/>
          <w:color w:val="262626"/>
          <w:sz w:val="20"/>
        </w:rPr>
        <w:t xml:space="preserve">Graph Database: </w:t>
      </w:r>
      <w:r>
        <w:rPr>
          <w:rFonts w:ascii="Calibri" w:hAnsi="Calibri"/>
          <w:color w:val="262626"/>
          <w:sz w:val="20"/>
        </w:rPr>
        <w:t>Neo4j for structural legal knowledge graphs and clause interconnection modeling</w:t>
      </w:r>
    </w:p>
    <w:p>
      <w:pPr>
        <w:pStyle w:val="ListBullet"/>
        <w:spacing w:before="20" w:after="40" w:line="276" w:lineRule="auto"/>
      </w:pPr>
      <w:r>
        <w:rPr>
          <w:rFonts w:ascii="Calibri" w:hAnsi="Calibri"/>
          <w:b/>
          <w:color w:val="262626"/>
          <w:sz w:val="20"/>
        </w:rPr>
        <w:t xml:space="preserve">Backend Framework: </w:t>
      </w:r>
      <w:r>
        <w:rPr>
          <w:rFonts w:ascii="Calibri" w:hAnsi="Calibri"/>
          <w:color w:val="262626"/>
          <w:sz w:val="20"/>
        </w:rPr>
        <w:t>FastAPI (Python Asynchronous REST API)</w:t>
      </w:r>
    </w:p>
    <w:p>
      <w:pPr>
        <w:pStyle w:val="ListBullet"/>
        <w:spacing w:before="20" w:after="40" w:line="276" w:lineRule="auto"/>
      </w:pPr>
      <w:r>
        <w:rPr>
          <w:rFonts w:ascii="Calibri" w:hAnsi="Calibri"/>
          <w:b/>
          <w:color w:val="262626"/>
          <w:sz w:val="20"/>
        </w:rPr>
        <w:t xml:space="preserve">Frontend Web App: </w:t>
      </w:r>
      <w:r>
        <w:rPr>
          <w:rFonts w:ascii="Calibri" w:hAnsi="Calibri"/>
          <w:color w:val="262626"/>
          <w:sz w:val="20"/>
        </w:rPr>
        <w:t>Next.js / React with interactive document annotation viewer</w:t>
      </w:r>
    </w:p>
    <w:p>
      <w:pPr>
        <w:pStyle w:val="ListBullet"/>
        <w:spacing w:before="20" w:after="40" w:line="276" w:lineRule="auto"/>
      </w:pPr>
      <w:r>
        <w:rPr>
          <w:rFonts w:ascii="Calibri" w:hAnsi="Calibri"/>
          <w:b/>
          <w:color w:val="262626"/>
          <w:sz w:val="20"/>
        </w:rPr>
        <w:t xml:space="preserve">Benchmark Dataset: </w:t>
      </w:r>
      <w:r>
        <w:rPr>
          <w:rFonts w:ascii="Calibri" w:hAnsi="Calibri"/>
          <w:color w:val="262626"/>
          <w:sz w:val="20"/>
        </w:rPr>
        <w:t>Contract Understanding Atticus Dataset (CUAD) + Indian Legal Corpus</w:t>
      </w:r>
    </w:p>
    <w:p>
      <w:pPr>
        <w:spacing w:before="160" w:after="40"/>
      </w:pPr>
      <w:r>
        <w:rPr>
          <w:rFonts w:ascii="Calibri" w:hAnsi="Calibri"/>
          <w:b/>
          <w:color w:val="2E75B6"/>
          <w:sz w:val="22"/>
        </w:rPr>
        <w:t>Key Innovation</w:t>
      </w:r>
    </w:p>
    <w:p>
      <w:pPr>
        <w:spacing w:before="40" w:after="80" w:line="276" w:lineRule="auto"/>
        <w:jc w:val="both"/>
      </w:pPr>
      <w:r>
        <w:rPr>
          <w:rFonts w:ascii="Calibri" w:hAnsi="Calibri"/>
          <w:color w:val="262626"/>
          <w:sz w:val="20"/>
        </w:rPr>
        <w:t>Decoupled evaluation separating clause-type identification from jurisdiction-aware predatory risk scoring tailored to Indian gig economy agreements.</w:t>
      </w:r>
    </w:p>
    <w:p>
      <w:r>
        <w:br w:type="page"/>
      </w:r>
    </w:p>
    <w:p>
      <w:pPr>
        <w:spacing w:before="80" w:after="40"/>
      </w:pPr>
      <w:r>
        <w:rPr>
          <w:rFonts w:ascii="Calibri" w:hAnsi="Calibri"/>
          <w:b/>
          <w:color w:val="2E75B6"/>
          <w:sz w:val="22"/>
        </w:rPr>
        <w:t>PROJECT #07 — BATCH NO: A-07</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SHEGUARD: AI POWERED WOMEN’S SAFETY PLATFORM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A-07</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Mobile Computing, Location Intelligence &amp; Personal Security</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A7.docx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Women’s safety has become an important social concern, as women may face harassment, stalking, assault, and other dangerous situations in both isolated and crowded public places. Although several existing women-safety applications provide emergency SOS services, many of them mainly depend on the user manually opening the application, pressing an SOS button, or communicating with emergency contacts. During a real emergency, the user may be frightened, unable to access the phone, or may not have enough time to perform multiple actions. This creates a gap between detecting danger and receiving timely assistance.</w:t>
            </w:r>
          </w:p>
          <w:p>
            <w:pPr>
              <w:spacing w:before="80" w:after="120" w:line="276" w:lineRule="auto"/>
              <w:jc w:val="both"/>
            </w:pPr>
            <w:r>
              <w:rPr>
                <w:rFonts w:ascii="Calibri" w:hAnsi="Calibri"/>
                <w:color w:val="262626"/>
                <w:sz w:val="20"/>
              </w:rPr>
              <w:t>To address this problem, SHEGUARD is proposed as an AI-powered women’s safety platform that provides support before, during, and after an emergency. The system combines multiple safety mechanisms including Safe Route guidance, SafePhrase-based emergency activation, Smart SOS, live location sharing, trusted guardian alerts, emergency evidence preservation, AI-based safety assistance, and community safety reporting. Safe Route helps users make more informed travel decisions using available safety-related information, while emergency features provide multiple ways to initiate a safety response depending on the situation. Once an emergency is activated, SHEGUARD can create an emergency session, share the user's location with trusted guardians, and store relevant information such as timestamps, location details, and available audio or image evidence.</w:t>
            </w:r>
          </w:p>
          <w:p>
            <w:pPr>
              <w:spacing w:before="80" w:after="120" w:line="276" w:lineRule="auto"/>
              <w:jc w:val="both"/>
            </w:pPr>
            <w:r>
              <w:rPr>
                <w:rFonts w:ascii="Calibri" w:hAnsi="Calibri"/>
                <w:color w:val="262626"/>
                <w:sz w:val="20"/>
              </w:rPr>
              <w:t>The platform uses Flutter for the application interface, Gemini API for AI-powered assistance, and Supabase for authentication, PostgreSQL database management, real-time data, and secure evidence storage. Role-based access and Row Level Security are used to protect sensitive user and emergency information.</w:t>
            </w:r>
          </w:p>
          <w:p>
            <w:pPr>
              <w:spacing w:before="160" w:after="0"/>
            </w:pPr>
            <w:r>
              <w:rPr>
                <w:rFonts w:ascii="Calibri" w:hAnsi="Calibri"/>
                <w:b/>
                <w:color w:val="1B365D"/>
                <w:sz w:val="19"/>
              </w:rPr>
              <w:t xml:space="preserve">Keywords: </w:t>
            </w:r>
            <w:r>
              <w:rPr>
                <w:rFonts w:ascii="Calibri" w:hAnsi="Calibri"/>
                <w:i/>
                <w:color w:val="262626"/>
                <w:sz w:val="19"/>
              </w:rPr>
              <w:t>Women Safety Platform, Safe Route Navigation, SafePhrase Voice Trigger, Smart SOS, Live GPS Sharing, Flutter, Gemini API, Supabase, Row Level Security, Digital Evidence Vault.</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Comprehensive Safety Ecosystem</w:t>
      </w:r>
    </w:p>
    <w:p>
      <w:pPr>
        <w:pStyle w:val="ListBullet"/>
        <w:spacing w:before="20" w:after="40" w:line="276" w:lineRule="auto"/>
      </w:pPr>
      <w:r>
        <w:rPr>
          <w:rFonts w:ascii="Calibri" w:hAnsi="Calibri"/>
          <w:b/>
          <w:color w:val="262626"/>
          <w:sz w:val="20"/>
        </w:rPr>
        <w:t>Safe Route Navigation:</w:t>
      </w:r>
      <w:r>
        <w:rPr>
          <w:rFonts w:ascii="Calibri" w:hAnsi="Calibri"/>
          <w:color w:val="262626"/>
          <w:sz w:val="20"/>
        </w:rPr>
        <w:t xml:space="preserve"> Recommends well-lit, populated pedestrian paths based on historical safety crowd-reports.</w:t>
      </w:r>
    </w:p>
    <w:p>
      <w:pPr>
        <w:pStyle w:val="ListBullet"/>
        <w:spacing w:before="20" w:after="40" w:line="276" w:lineRule="auto"/>
      </w:pPr>
      <w:r>
        <w:rPr>
          <w:rFonts w:ascii="Calibri" w:hAnsi="Calibri"/>
          <w:b/>
          <w:color w:val="262626"/>
          <w:sz w:val="20"/>
        </w:rPr>
        <w:t>SafePhrase Emergency Trigger:</w:t>
      </w:r>
      <w:r>
        <w:rPr>
          <w:rFonts w:ascii="Calibri" w:hAnsi="Calibri"/>
          <w:color w:val="262626"/>
          <w:sz w:val="20"/>
        </w:rPr>
        <w:t xml:space="preserve"> Background acoustic voice recognition triggering SOS upon detecting distress keywords without manual screen touch.</w:t>
      </w:r>
    </w:p>
    <w:p>
      <w:pPr>
        <w:pStyle w:val="ListBullet"/>
        <w:spacing w:before="20" w:after="40" w:line="276" w:lineRule="auto"/>
      </w:pPr>
      <w:r>
        <w:rPr>
          <w:rFonts w:ascii="Calibri" w:hAnsi="Calibri"/>
          <w:b/>
          <w:color w:val="262626"/>
          <w:sz w:val="20"/>
        </w:rPr>
        <w:t>Live Telemetry &amp; Guardian Dispatch:</w:t>
      </w:r>
      <w:r>
        <w:rPr>
          <w:rFonts w:ascii="Calibri" w:hAnsi="Calibri"/>
          <w:color w:val="262626"/>
          <w:sz w:val="20"/>
        </w:rPr>
        <w:t xml:space="preserve"> Broadcasts real-time GPS coordinates to pre-selected trusted contacts.</w:t>
      </w:r>
    </w:p>
    <w:p>
      <w:pPr>
        <w:pStyle w:val="ListBullet"/>
        <w:spacing w:before="20" w:after="40" w:line="276" w:lineRule="auto"/>
      </w:pPr>
      <w:r>
        <w:rPr>
          <w:rFonts w:ascii="Calibri" w:hAnsi="Calibri"/>
          <w:b/>
          <w:color w:val="262626"/>
          <w:sz w:val="20"/>
        </w:rPr>
        <w:t>Tamper-Proof Evidence Vault:</w:t>
      </w:r>
      <w:r>
        <w:rPr>
          <w:rFonts w:ascii="Calibri" w:hAnsi="Calibri"/>
          <w:color w:val="262626"/>
          <w:sz w:val="20"/>
        </w:rPr>
        <w:t xml:space="preserve"> Automatically uploads ambient audio snippets and camera snaps to secure cloud storage for forensic validation.</w:t>
      </w:r>
    </w:p>
    <w:p>
      <w:pPr>
        <w:spacing w:before="160" w:after="40"/>
      </w:pPr>
      <w:r>
        <w:rPr>
          <w:rFonts w:ascii="Calibri" w:hAnsi="Calibri"/>
          <w:b/>
          <w:color w:val="2E75B6"/>
          <w:sz w:val="22"/>
        </w:rPr>
        <w:t>Technology Stack</w:t>
      </w:r>
    </w:p>
    <w:p>
      <w:pPr>
        <w:spacing w:before="40" w:after="80" w:line="276" w:lineRule="auto"/>
        <w:jc w:val="both"/>
      </w:pPr>
      <w:r>
        <w:rPr>
          <w:rFonts w:ascii="Calibri" w:hAnsi="Calibri"/>
          <w:color w:val="262626"/>
          <w:sz w:val="20"/>
        </w:rPr>
        <w:t>Flutter (Cross-Platform Mobile), Google Gemini API (AI Safety Assistant), Supabase (PostgreSQL with RLS &amp; Real-Time Channels).</w:t>
      </w:r>
    </w:p>
    <w:p>
      <w:r>
        <w:br w:type="page"/>
      </w:r>
    </w:p>
    <w:p>
      <w:pPr>
        <w:spacing w:before="80" w:after="40"/>
      </w:pPr>
      <w:r>
        <w:rPr>
          <w:rFonts w:ascii="Calibri" w:hAnsi="Calibri"/>
          <w:b/>
          <w:color w:val="2E75B6"/>
          <w:sz w:val="22"/>
        </w:rPr>
        <w:t>PROJECT #08 — BATCH NO: A-08</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JEPA LLM Tuning Framework Model for Self Supervised Medical Image Segmentation and DNA Finger Printing Analysis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A-08</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Medical Imaging, Bioinformatics &amp; Forensic Science</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A8.docx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JEPA LLM Tuning Framework Model for Self-Supervised Medical Image Segmentation and DNA Fingerprinting Analysis is an advanced Artificial Intelligence (AI) framework developed to improve both healthcare and forensic applications. The proposed system combines Joint-Embedding Predictive Architecture (JEPA) with a fine-tuned Large Language Model (LLM) to analyze medical images and DNA data efficiently. Unlike traditional methods that require large amounts of labeled data, the framework uses self-supervised learning to extract meaningful features from unlabeled datasets, reducing manual effort while improving accuracy.</w:t>
            </w:r>
          </w:p>
          <w:p>
            <w:pPr>
              <w:spacing w:before="80" w:after="120" w:line="276" w:lineRule="auto"/>
              <w:jc w:val="both"/>
            </w:pPr>
            <w:r>
              <w:rPr>
                <w:rFonts w:ascii="Calibri" w:hAnsi="Calibri"/>
                <w:color w:val="262626"/>
                <w:sz w:val="20"/>
              </w:rPr>
              <w:t>The framework performs accurate segmentation of medical images such as MRI, CT, and X-ray scans to identify organs, tissues, and abnormal regions that support disease diagnosis. It also analyzes DNA fingerprint patterns to enable reliable identification for forensic investigations, paternity testing, and genetic research. The integrated LLM interprets the AI-generated results and produces clear, human-readable reports, helping medical professionals and forensic experts make faster and more informed decisions.</w:t>
            </w:r>
          </w:p>
          <w:p>
            <w:pPr>
              <w:spacing w:before="80" w:after="120" w:line="276" w:lineRule="auto"/>
              <w:jc w:val="both"/>
            </w:pPr>
            <w:r>
              <w:rPr>
                <w:rFonts w:ascii="Calibri" w:hAnsi="Calibri"/>
                <w:color w:val="262626"/>
                <w:sz w:val="20"/>
              </w:rPr>
              <w:t>The project is implemented using Python with PyTorch or TensorFlow for deep learning, JEPA for self-supervised representation learning, and a fine-tuned LLM for intelligent report generation. Additional technologies such as OpenCV, MONAI, BioPython, NumPy, Pandas, Scikit-learn, and Flask or Streamlit are used for image processing, DNA analysis, data handling, machine learning, and user interface development.</w:t>
            </w:r>
          </w:p>
          <w:p>
            <w:pPr>
              <w:spacing w:before="160" w:after="0"/>
            </w:pPr>
            <w:r>
              <w:rPr>
                <w:rFonts w:ascii="Calibri" w:hAnsi="Calibri"/>
                <w:b/>
                <w:color w:val="1B365D"/>
                <w:sz w:val="19"/>
              </w:rPr>
              <w:t xml:space="preserve">Keywords: </w:t>
            </w:r>
            <w:r>
              <w:rPr>
                <w:rFonts w:ascii="Calibri" w:hAnsi="Calibri"/>
                <w:i/>
                <w:color w:val="262626"/>
                <w:sz w:val="19"/>
              </w:rPr>
              <w:t>Medical Image Segmentation, DNA Fingerprinting, Joint Embedding Predictive Architecture (JEPA), Self-Supervised Learning, Large Language Models (LLMs), MONAI, BioPython, Forensic Genetics.</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Dual Diagnostic Modules</w:t>
      </w:r>
    </w:p>
    <w:p>
      <w:pPr>
        <w:pStyle w:val="ListBullet"/>
        <w:spacing w:before="20" w:after="40" w:line="276" w:lineRule="auto"/>
      </w:pPr>
      <w:r>
        <w:rPr>
          <w:rFonts w:ascii="Calibri" w:hAnsi="Calibri"/>
          <w:color w:val="262626"/>
          <w:sz w:val="20"/>
        </w:rPr>
        <w:t>Self-Supervised Medical Image Segmentation: Uses JEPA representations with MONAI/PyTorch to delineate lesions, tumors, and anatomical structures across MRI/CT volumes.</w:t>
      </w:r>
    </w:p>
    <w:p>
      <w:pPr>
        <w:pStyle w:val="ListBullet"/>
        <w:spacing w:before="20" w:after="40" w:line="276" w:lineRule="auto"/>
      </w:pPr>
      <w:r>
        <w:rPr>
          <w:rFonts w:ascii="Calibri" w:hAnsi="Calibri"/>
          <w:color w:val="262626"/>
          <w:sz w:val="20"/>
        </w:rPr>
        <w:t>DNA Fingerprint STR/Electropherogram Analysis: Analyzes short tandem repeat (STR) genomic bands using BioPython for forensic matching and kinship confirmation.</w:t>
      </w:r>
    </w:p>
    <w:p>
      <w:pPr>
        <w:pStyle w:val="ListBullet"/>
        <w:spacing w:before="20" w:after="40" w:line="276" w:lineRule="auto"/>
      </w:pPr>
      <w:r>
        <w:rPr>
          <w:rFonts w:ascii="Calibri" w:hAnsi="Calibri"/>
          <w:b/>
          <w:color w:val="262626"/>
          <w:sz w:val="20"/>
        </w:rPr>
        <w:t>Automated Clinical Report Generator:</w:t>
      </w:r>
      <w:r>
        <w:rPr>
          <w:rFonts w:ascii="Calibri" w:hAnsi="Calibri"/>
          <w:color w:val="262626"/>
          <w:sz w:val="20"/>
        </w:rPr>
        <w:t xml:space="preserve"> Fine-tuned LLM synthesizes structured medical and forensic diagnostic documentation.</w:t>
      </w:r>
    </w:p>
    <w:p>
      <w:pPr>
        <w:spacing w:before="160" w:after="40"/>
      </w:pPr>
      <w:r>
        <w:rPr>
          <w:rFonts w:ascii="Calibri" w:hAnsi="Calibri"/>
          <w:b/>
          <w:color w:val="2E75B6"/>
          <w:sz w:val="22"/>
        </w:rPr>
        <w:t>Technology Stack</w:t>
      </w:r>
    </w:p>
    <w:p>
      <w:pPr>
        <w:spacing w:before="40" w:after="80" w:line="276" w:lineRule="auto"/>
        <w:jc w:val="both"/>
      </w:pPr>
      <w:r>
        <w:rPr>
          <w:rFonts w:ascii="Calibri" w:hAnsi="Calibri"/>
          <w:color w:val="262626"/>
          <w:sz w:val="20"/>
        </w:rPr>
        <w:t>Python, PyTorch, MONAI (Medical Open Network for AI), BioPython, OpenCV, Scikit-Learn, Streamlit/Flask Web Interface.</w:t>
      </w:r>
    </w:p>
    <w:p>
      <w:r>
        <w:br w:type="page"/>
      </w:r>
    </w:p>
    <w:p>
      <w:pPr>
        <w:spacing w:before="80" w:after="40"/>
      </w:pPr>
      <w:r>
        <w:rPr>
          <w:rFonts w:ascii="Calibri" w:hAnsi="Calibri"/>
          <w:b/>
          <w:color w:val="2E75B6"/>
          <w:sz w:val="22"/>
        </w:rPr>
        <w:t>PROJECT #09 — BATCH NO: A-09</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Privacy-Preserving Machine Unlearning in Federated LLMs: A Certified Right-to-Be-Forgotten Framework</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A-09</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Federated Learning, Differential Privacy, Large Language Models &amp; AI Governance</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A9.docx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Privacy-Preserving Machine Unlearning in Federated LLMs is a certified framework designed to address the growing need for verifiable data removal in large language models trained through federated learning. As federated LLMs are trained across multiple decentralized clients, each contributing private data without exposing it centrally, the influence of that data remains embedded in the model's parameters even after training. Existing deletion methods often rely on heuristic retraining or approximate weight adjustments, offering no formal guarantee that a client's data has been sufficiently forgotten, leaving models non-compliant with data protection regulations such as the GDPR's 'Right to Be Forgotten.'</w:t>
            </w:r>
          </w:p>
          <w:p>
            <w:pPr>
              <w:spacing w:before="80" w:after="120" w:line="276" w:lineRule="auto"/>
              <w:jc w:val="both"/>
            </w:pPr>
            <w:r>
              <w:rPr>
                <w:rFonts w:ascii="Calibri" w:hAnsi="Calibri"/>
                <w:color w:val="262626"/>
                <w:sz w:val="20"/>
              </w:rPr>
              <w:t>To address this gap, the proposed framework introduces certified unlearning, providing provable, quantifiable guarantees that a client's data influence has been reduced below a defined threshold following an unlearning request. The framework combines differential privacy bounds with parameter-level update techniques to erase targeted data contributions from the federated global model without requiring full retraining from scratch. A verification and auditability mechanism is further incorporated, allowing unlearning requests to be validated and demonstrated as compliant to regulators, institutions, or end users.</w:t>
            </w:r>
          </w:p>
          <w:p>
            <w:pPr>
              <w:spacing w:before="80" w:after="120" w:line="276" w:lineRule="auto"/>
              <w:jc w:val="both"/>
            </w:pPr>
            <w:r>
              <w:rPr>
                <w:rFonts w:ascii="Calibri" w:hAnsi="Calibri"/>
                <w:color w:val="262626"/>
                <w:sz w:val="20"/>
              </w:rPr>
              <w:t>The framework is designed to operate efficiently within federated LLM training pipelines, minimizing computational overhead while preserving overall model utility and performance. By ensuring that both the unlearning process and its verification remain privacy-preserving, the proposed system offers a practical and legally aligned pathway for real-world federated LLM deployments to support user-driven data deletion requests reliably and transparently.</w:t>
            </w:r>
          </w:p>
          <w:p>
            <w:pPr>
              <w:spacing w:before="160" w:after="0"/>
            </w:pPr>
            <w:r>
              <w:rPr>
                <w:rFonts w:ascii="Calibri" w:hAnsi="Calibri"/>
                <w:b/>
                <w:color w:val="1B365D"/>
                <w:sz w:val="19"/>
              </w:rPr>
              <w:t xml:space="preserve">Keywords: </w:t>
            </w:r>
            <w:r>
              <w:rPr>
                <w:rFonts w:ascii="Calibri" w:hAnsi="Calibri"/>
                <w:i/>
                <w:color w:val="262626"/>
                <w:sz w:val="19"/>
              </w:rPr>
              <w:t>Federated Learning, Machine Unlearning, Large Language Models (LLMs), Certified Right-to-Be-Forgotten, Differential Privacy, Parameter Gradient Scission, GDPR Compliance, Cryptographic Verification.</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Core Theoretical Mechanisms</w:t>
      </w:r>
    </w:p>
    <w:p>
      <w:pPr>
        <w:pStyle w:val="ListBullet"/>
        <w:spacing w:before="20" w:after="40" w:line="276" w:lineRule="auto"/>
      </w:pPr>
      <w:r>
        <w:rPr>
          <w:rFonts w:ascii="Calibri" w:hAnsi="Calibri"/>
          <w:b/>
          <w:color w:val="262626"/>
          <w:sz w:val="20"/>
        </w:rPr>
        <w:t>Certified Influence Removal:</w:t>
      </w:r>
      <w:r>
        <w:rPr>
          <w:rFonts w:ascii="Calibri" w:hAnsi="Calibri"/>
          <w:color w:val="262626"/>
          <w:sz w:val="20"/>
        </w:rPr>
        <w:t xml:space="preserve"> Mathematically bounds remaining empirical risk using differential privacy epsilon/delta parameters.</w:t>
      </w:r>
    </w:p>
    <w:p>
      <w:pPr>
        <w:pStyle w:val="ListBullet"/>
        <w:spacing w:before="20" w:after="40" w:line="276" w:lineRule="auto"/>
      </w:pPr>
      <w:r>
        <w:rPr>
          <w:rFonts w:ascii="Calibri" w:hAnsi="Calibri"/>
          <w:b/>
          <w:color w:val="262626"/>
          <w:sz w:val="20"/>
        </w:rPr>
        <w:t>Decentralized Weight Projection:</w:t>
      </w:r>
      <w:r>
        <w:rPr>
          <w:rFonts w:ascii="Calibri" w:hAnsi="Calibri"/>
          <w:color w:val="262626"/>
          <w:sz w:val="20"/>
        </w:rPr>
        <w:t xml:space="preserve"> Erases client gradient traces from global transformer weights without triggering catastrophic forgetting.</w:t>
      </w:r>
    </w:p>
    <w:p>
      <w:pPr>
        <w:pStyle w:val="ListBullet"/>
        <w:spacing w:before="20" w:after="40" w:line="276" w:lineRule="auto"/>
      </w:pPr>
      <w:r>
        <w:rPr>
          <w:rFonts w:ascii="Calibri" w:hAnsi="Calibri"/>
          <w:b/>
          <w:color w:val="262626"/>
          <w:sz w:val="20"/>
        </w:rPr>
        <w:t>Zero-Knowledge Unlearning Verification:</w:t>
      </w:r>
      <w:r>
        <w:rPr>
          <w:rFonts w:ascii="Calibri" w:hAnsi="Calibri"/>
          <w:color w:val="262626"/>
          <w:sz w:val="20"/>
        </w:rPr>
        <w:t xml:space="preserve"> Proves data eradication to regulatory auditors without leaking underlying raw training tokens.</w:t>
      </w:r>
    </w:p>
    <w:p>
      <w:pPr>
        <w:pStyle w:val="ListBullet"/>
        <w:spacing w:before="20" w:after="40" w:line="276" w:lineRule="auto"/>
      </w:pPr>
      <w:r>
        <w:rPr>
          <w:rFonts w:ascii="Calibri" w:hAnsi="Calibri"/>
          <w:b/>
          <w:color w:val="262626"/>
          <w:sz w:val="20"/>
        </w:rPr>
        <w:t>Utility Preservation:</w:t>
      </w:r>
      <w:r>
        <w:rPr>
          <w:rFonts w:ascii="Calibri" w:hAnsi="Calibri"/>
          <w:color w:val="262626"/>
          <w:sz w:val="20"/>
        </w:rPr>
        <w:t xml:space="preserve"> Maintains baseline language modeling perplexity across retained domain tasks.</w:t>
      </w:r>
    </w:p>
    <w:p>
      <w:pPr>
        <w:spacing w:before="160" w:after="40"/>
      </w:pPr>
      <w:r>
        <w:rPr>
          <w:rFonts w:ascii="Calibri" w:hAnsi="Calibri"/>
          <w:b/>
          <w:color w:val="2E75B6"/>
          <w:sz w:val="22"/>
        </w:rPr>
        <w:t>Significance</w:t>
      </w:r>
    </w:p>
    <w:p>
      <w:pPr>
        <w:spacing w:before="40" w:after="80" w:line="276" w:lineRule="auto"/>
        <w:jc w:val="both"/>
      </w:pPr>
      <w:r>
        <w:rPr>
          <w:rFonts w:ascii="Calibri" w:hAnsi="Calibri"/>
          <w:color w:val="262626"/>
          <w:sz w:val="20"/>
        </w:rPr>
        <w:t>Provides an enterprise-ready mechanism for complying with GDPR Article 17 and global data sovereignty mandates in decentralized AI models.</w:t>
      </w:r>
    </w:p>
    <w:p>
      <w:r>
        <w:br w:type="page"/>
      </w:r>
    </w:p>
    <w:p>
      <w:pPr>
        <w:spacing w:before="80" w:after="40"/>
      </w:pPr>
      <w:r>
        <w:rPr>
          <w:rFonts w:ascii="Calibri" w:hAnsi="Calibri"/>
          <w:b/>
          <w:color w:val="2E75B6"/>
          <w:sz w:val="22"/>
        </w:rPr>
        <w:t>PROJECT #10 — BATCH NO: A-10</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 Powered Intelligent Hospital Patient Flow Management System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A-10</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Healthcare Informatics, Operations Research &amp; Artificial Intelligence</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A10.docx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Hospitals manage a large number of patients every day, making patient management a challenging task. Although hospitals use software for registration, billing, and appointments, many activities inside the hospital are still handled manually. Nurses call patient names in waiting areas, laboratory staff manage test queues manually, and bed or ICU availability is checked through manual communication. These methods increase waiting time, create confusion, and reduce the efficiency of hospital operations. Since patients move through different departments such as OPD, laboratory, pharmacy, wards, and ICU, proper coordination between these departments is essential.</w:t>
            </w:r>
          </w:p>
          <w:p>
            <w:pPr>
              <w:spacing w:before="80" w:after="120" w:line="276" w:lineRule="auto"/>
              <w:jc w:val="both"/>
            </w:pPr>
            <w:r>
              <w:rPr>
                <w:rFonts w:ascii="Calibri" w:hAnsi="Calibri"/>
                <w:color w:val="262626"/>
                <w:sz w:val="20"/>
              </w:rPr>
              <w:t>The proposed AI-Powered Intelligent Hospital Patient Flow Management System aims to automate the complete patient journey inside the hospital. The system generates digital tokens, tracks patient movement, schedules laboratory tests, and monitors bed and ICU availability in real time. It also provides separate dashboards for doctors, nurses, laboratory staff, and administrators to manage patient information and hospital resources efficiently. By automating these activities, the system reduces manual work, improves communication between departments, and decreases patient waiting time.</w:t>
            </w:r>
          </w:p>
          <w:p>
            <w:pPr>
              <w:spacing w:before="80" w:after="120" w:line="276" w:lineRule="auto"/>
              <w:jc w:val="both"/>
            </w:pPr>
            <w:r>
              <w:rPr>
                <w:rFonts w:ascii="Calibri" w:hAnsi="Calibri"/>
                <w:color w:val="262626"/>
                <w:sz w:val="20"/>
              </w:rPr>
              <w:t>Artificial Intelligence is used to make the system more intelligent and efficient. AI can predict patient waiting time, prioritize emergency cases, and help allocate beds and ICU rooms based on availability. It can also analyze hospital data to improve resource utilization and hospital workflow. Overall, the proposed system provides a smarter way to manage patients, reduces the workload of hospital staff, improves hospital efficiency, and delivers faster and better healthcare services.</w:t>
            </w:r>
          </w:p>
          <w:p>
            <w:pPr>
              <w:spacing w:before="160" w:after="0"/>
            </w:pPr>
            <w:r>
              <w:rPr>
                <w:rFonts w:ascii="Calibri" w:hAnsi="Calibri"/>
                <w:b/>
                <w:color w:val="1B365D"/>
                <w:sz w:val="19"/>
              </w:rPr>
              <w:t xml:space="preserve">Keywords: </w:t>
            </w:r>
            <w:r>
              <w:rPr>
                <w:rFonts w:ascii="Calibri" w:hAnsi="Calibri"/>
                <w:i/>
                <w:color w:val="262626"/>
                <w:sz w:val="19"/>
              </w:rPr>
              <w:t>Hospital Patient Flow, AI Triage Scheduling, Digital Token System, Bed &amp; ICU Dynamic Allocation, Healthcare Operations, Queuing Theory, Resource Optimization.</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Departmental Coordination Features</w:t>
      </w:r>
    </w:p>
    <w:p>
      <w:pPr>
        <w:pStyle w:val="ListBullet"/>
        <w:spacing w:before="20" w:after="40" w:line="276" w:lineRule="auto"/>
      </w:pPr>
      <w:r>
        <w:rPr>
          <w:rFonts w:ascii="Calibri" w:hAnsi="Calibri"/>
          <w:b/>
          <w:color w:val="262626"/>
          <w:sz w:val="20"/>
        </w:rPr>
        <w:t>Digital Smart Token Dispenser:</w:t>
      </w:r>
      <w:r>
        <w:rPr>
          <w:rFonts w:ascii="Calibri" w:hAnsi="Calibri"/>
          <w:color w:val="262626"/>
          <w:sz w:val="20"/>
        </w:rPr>
        <w:t xml:space="preserve"> Assigns dynamic priority tokens balancing appointment times with clinical triage urgency.</w:t>
      </w:r>
    </w:p>
    <w:p>
      <w:pPr>
        <w:pStyle w:val="ListBullet"/>
        <w:spacing w:before="20" w:after="40" w:line="276" w:lineRule="auto"/>
      </w:pPr>
      <w:r>
        <w:rPr>
          <w:rFonts w:ascii="Calibri" w:hAnsi="Calibri"/>
          <w:b/>
          <w:color w:val="262626"/>
          <w:sz w:val="20"/>
        </w:rPr>
        <w:t>AI Wait-Time Estimator:</w:t>
      </w:r>
      <w:r>
        <w:rPr>
          <w:rFonts w:ascii="Calibri" w:hAnsi="Calibri"/>
          <w:color w:val="262626"/>
          <w:sz w:val="20"/>
        </w:rPr>
        <w:t xml:space="preserve"> Employs queuing models to display live estimated consultation delays to outpatients.</w:t>
      </w:r>
    </w:p>
    <w:p>
      <w:pPr>
        <w:pStyle w:val="ListBullet"/>
        <w:spacing w:before="20" w:after="40" w:line="276" w:lineRule="auto"/>
      </w:pPr>
      <w:r>
        <w:rPr>
          <w:rFonts w:ascii="Calibri" w:hAnsi="Calibri"/>
          <w:b/>
          <w:color w:val="262626"/>
          <w:sz w:val="20"/>
        </w:rPr>
        <w:t>Automated Bed &amp; ICU Tracking:</w:t>
      </w:r>
      <w:r>
        <w:rPr>
          <w:rFonts w:ascii="Calibri" w:hAnsi="Calibri"/>
          <w:color w:val="262626"/>
          <w:sz w:val="20"/>
        </w:rPr>
        <w:t xml:space="preserve"> Real-time sensor and admission state tracking for ward occupancy and sanitization turnaround.</w:t>
      </w:r>
    </w:p>
    <w:p>
      <w:pPr>
        <w:pStyle w:val="ListBullet"/>
        <w:spacing w:before="20" w:after="40" w:line="276" w:lineRule="auto"/>
      </w:pPr>
      <w:r>
        <w:rPr>
          <w:rFonts w:ascii="Calibri" w:hAnsi="Calibri"/>
          <w:b/>
          <w:color w:val="262626"/>
          <w:sz w:val="20"/>
        </w:rPr>
        <w:t>Multi-Role Dashboards:</w:t>
      </w:r>
      <w:r>
        <w:rPr>
          <w:rFonts w:ascii="Calibri" w:hAnsi="Calibri"/>
          <w:color w:val="262626"/>
          <w:sz w:val="20"/>
        </w:rPr>
        <w:t xml:space="preserve"> Customized operational portals for OPD Physicians, Triage Nurses, Diagnostic Labs, and Chief Medical Officers.</w:t>
      </w:r>
    </w:p>
    <w:p>
      <w:pPr>
        <w:spacing w:before="160" w:after="40"/>
      </w:pPr>
      <w:r>
        <w:rPr>
          <w:rFonts w:ascii="Calibri" w:hAnsi="Calibri"/>
          <w:b/>
          <w:color w:val="2E75B6"/>
          <w:sz w:val="22"/>
        </w:rPr>
        <w:t>Clinical Outcomes</w:t>
      </w:r>
    </w:p>
    <w:p>
      <w:pPr>
        <w:spacing w:before="40" w:after="80" w:line="276" w:lineRule="auto"/>
        <w:jc w:val="both"/>
      </w:pPr>
      <w:r>
        <w:rPr>
          <w:rFonts w:ascii="Calibri" w:hAnsi="Calibri"/>
          <w:color w:val="262626"/>
          <w:sz w:val="20"/>
        </w:rPr>
        <w:t>Drastically alleviates emergency department overcrowding, accelerates diagnostic test turnaround times, and enhances patient satisfaction.</w:t>
      </w:r>
    </w:p>
    <w:p>
      <w:r>
        <w:br w:type="page"/>
      </w:r>
    </w:p>
    <w:p>
      <w:pPr>
        <w:spacing w:before="80" w:after="40"/>
      </w:pPr>
      <w:r>
        <w:rPr>
          <w:rFonts w:ascii="Calibri" w:hAnsi="Calibri"/>
          <w:b/>
          <w:color w:val="2E75B6"/>
          <w:sz w:val="22"/>
        </w:rPr>
        <w:t>PROJECT #11 — BATCH NO: A-11</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AI-Driven E-Commerce Recommendation System with Digital Twin Simulation</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A-11</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Big Data Analytics, Multi-Agent AI &amp; Digital Twin Simulation</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A11.docx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E-commerce platforms have become an important part of modern shopping, where customers expect personalized product recommendations and fast service. Most existing recommendation systems use purchase history, browsing history, ratings, and reviews to suggest products. Although these systems improve the shopping experience, they still face several challenges, including limited personalization, dependence on historical data, poor real-time adaptation, lack of recommendation transparency, and reduced performance during periods of high server traffic. These limitations affect both customer satisfaction and overall system efficiency.</w:t>
            </w:r>
          </w:p>
          <w:p>
            <w:pPr>
              <w:spacing w:before="80" w:after="120" w:line="276" w:lineRule="auto"/>
              <w:jc w:val="both"/>
            </w:pPr>
            <w:r>
              <w:rPr>
                <w:rFonts w:ascii="Calibri" w:hAnsi="Calibri"/>
                <w:color w:val="262626"/>
                <w:sz w:val="20"/>
              </w:rPr>
              <w:t>To address these challenges, this project proposes an Adaptive E-Commerce Recommendation System Using Big Data Analytics, Digital Twin Simulation, and AI-Based Traffic Optimization. The system analyzes customer engagement factors such as product views, clicks, searches, cart activities, purchases, ratings, and reviews to better understand customer preferences. Big Data Analytics is used to process large volumes of customer data efficiently, while a Multi-Agent AI framework generates personalized recommendations based on user behavior.</w:t>
            </w:r>
          </w:p>
          <w:p>
            <w:pPr>
              <w:spacing w:before="80" w:after="120" w:line="276" w:lineRule="auto"/>
              <w:jc w:val="both"/>
            </w:pPr>
            <w:r>
              <w:rPr>
                <w:rFonts w:ascii="Calibri" w:hAnsi="Calibri"/>
                <w:color w:val="262626"/>
                <w:sz w:val="20"/>
              </w:rPr>
              <w:t>The proposed system also integrates Digital Twin Simulation to virtually evaluate recommendation strategies before they are presented to users, improving recommendation quality and reliability. Explainable AI (XAI) provides users with clear reasons for each recommendation, increasing transparency and trust. A Self-Learning Feedback Engine continuously updates the recommendation model based on user interactions, while the AI-Based Traffic Optimization module monitors server load and efficiently manages recommendation requests during peak shopping periods to ensure smooth system performance.</w:t>
            </w:r>
          </w:p>
          <w:p>
            <w:pPr>
              <w:spacing w:before="160" w:after="0"/>
            </w:pPr>
            <w:r>
              <w:rPr>
                <w:rFonts w:ascii="Calibri" w:hAnsi="Calibri"/>
                <w:b/>
                <w:color w:val="1B365D"/>
                <w:sz w:val="19"/>
              </w:rPr>
              <w:t xml:space="preserve">Keywords: </w:t>
            </w:r>
            <w:r>
              <w:rPr>
                <w:rFonts w:ascii="Calibri" w:hAnsi="Calibri"/>
                <w:i/>
                <w:color w:val="262626"/>
                <w:sz w:val="19"/>
              </w:rPr>
              <w:t>E-Commerce Recommendations, Digital Twin Simulation, Multi-Agent AI, Big Data Analytics, Explainable AI (XAI), Self-Learning Feedback, Server Traffic Optimization.</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Advanced System Architecture</w:t>
      </w:r>
    </w:p>
    <w:p>
      <w:pPr>
        <w:pStyle w:val="ListBullet"/>
        <w:spacing w:before="20" w:after="40" w:line="276" w:lineRule="auto"/>
      </w:pPr>
      <w:r>
        <w:rPr>
          <w:rFonts w:ascii="Calibri" w:hAnsi="Calibri"/>
          <w:b/>
          <w:color w:val="262626"/>
          <w:sz w:val="20"/>
        </w:rPr>
        <w:t>Multi-Agent AI Recommendation Core:</w:t>
      </w:r>
      <w:r>
        <w:rPr>
          <w:rFonts w:ascii="Calibri" w:hAnsi="Calibri"/>
          <w:color w:val="262626"/>
          <w:sz w:val="20"/>
        </w:rPr>
        <w:t xml:space="preserve"> Autonomous sub-agents modeling user browsing intent, catalog novelty, and price elasticity.</w:t>
      </w:r>
    </w:p>
    <w:p>
      <w:pPr>
        <w:pStyle w:val="ListBullet"/>
        <w:spacing w:before="20" w:after="40" w:line="276" w:lineRule="auto"/>
      </w:pPr>
      <w:r>
        <w:rPr>
          <w:rFonts w:ascii="Calibri" w:hAnsi="Calibri"/>
          <w:b/>
          <w:color w:val="262626"/>
          <w:sz w:val="20"/>
        </w:rPr>
        <w:t>Digital Twin E-Commerce Sandbox:</w:t>
      </w:r>
      <w:r>
        <w:rPr>
          <w:rFonts w:ascii="Calibri" w:hAnsi="Calibri"/>
          <w:color w:val="262626"/>
          <w:sz w:val="20"/>
        </w:rPr>
        <w:t xml:space="preserve"> Simulates customer response distributions in virtual synthetic environments before production rollout.</w:t>
      </w:r>
    </w:p>
    <w:p>
      <w:pPr>
        <w:pStyle w:val="ListBullet"/>
        <w:spacing w:before="20" w:after="40" w:line="276" w:lineRule="auto"/>
      </w:pPr>
      <w:r>
        <w:rPr>
          <w:rFonts w:ascii="Calibri" w:hAnsi="Calibri"/>
          <w:b/>
          <w:color w:val="262626"/>
          <w:sz w:val="20"/>
        </w:rPr>
        <w:t>Explainable Recommendation Engine:</w:t>
      </w:r>
      <w:r>
        <w:rPr>
          <w:rFonts w:ascii="Calibri" w:hAnsi="Calibri"/>
          <w:color w:val="262626"/>
          <w:sz w:val="20"/>
        </w:rPr>
        <w:t xml:space="preserve"> Provides context-aware justifications ('Recommended because you viewed similar items in Category X').</w:t>
      </w:r>
    </w:p>
    <w:p>
      <w:pPr>
        <w:pStyle w:val="ListBullet"/>
        <w:spacing w:before="20" w:after="40" w:line="276" w:lineRule="auto"/>
      </w:pPr>
      <w:r>
        <w:rPr>
          <w:rFonts w:ascii="Calibri" w:hAnsi="Calibri"/>
          <w:b/>
          <w:color w:val="262626"/>
          <w:sz w:val="20"/>
        </w:rPr>
        <w:t>Traffic &amp; Load Scaler:</w:t>
      </w:r>
      <w:r>
        <w:rPr>
          <w:rFonts w:ascii="Calibri" w:hAnsi="Calibri"/>
          <w:color w:val="262626"/>
          <w:sz w:val="20"/>
        </w:rPr>
        <w:t xml:space="preserve"> Dynamically manages inference caching during festival flash sales.</w:t>
      </w:r>
    </w:p>
    <w:p>
      <w:pPr>
        <w:spacing w:before="160" w:after="40"/>
      </w:pPr>
      <w:r>
        <w:rPr>
          <w:rFonts w:ascii="Calibri" w:hAnsi="Calibri"/>
          <w:b/>
          <w:color w:val="2E75B6"/>
          <w:sz w:val="22"/>
        </w:rPr>
        <w:t>Future Roadmap</w:t>
      </w:r>
    </w:p>
    <w:p>
      <w:pPr>
        <w:spacing w:before="40" w:after="80" w:line="276" w:lineRule="auto"/>
        <w:jc w:val="both"/>
      </w:pPr>
      <w:r>
        <w:rPr>
          <w:rFonts w:ascii="Calibri" w:hAnsi="Calibri"/>
          <w:color w:val="262626"/>
          <w:sz w:val="20"/>
        </w:rPr>
        <w:t>Integration with AR 3D product try-ons, conversational voice commerce, and decentralized federated user privacy.</w:t>
      </w:r>
    </w:p>
    <w:p>
      <w:r>
        <w:br w:type="page"/>
      </w:r>
    </w:p>
    <w:p>
      <w:pPr>
        <w:spacing w:before="80" w:after="40"/>
      </w:pPr>
      <w:r>
        <w:rPr>
          <w:rFonts w:ascii="Calibri" w:hAnsi="Calibri"/>
          <w:b/>
          <w:color w:val="2E75B6"/>
          <w:sz w:val="22"/>
        </w:rPr>
        <w:t>PROJECT #12 — BATCH NO: A-12</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ANALYSING MILLET SEED GERMINATION PREDICTION USING JEPA LLM TUNING MODELS AND CROP ANALYSIS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A-12</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Precision Agriculture, Computer Vision, Self-Supervised Learning &amp; Agronomy</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A12.docx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Millet is an important crop that is healthy, grows well in different climates, and supports sustainable farming. The ability of seeds to germinate properly is very important because it affects crop growth and final yield. Usually, checking seed germination is done manually, which takes time and may lead to mistakes. It is also difficult to check a large number of seeds quickly. To solve this problem, this project introduces a smart system to predict millet seed germination using JEPA, LLM models, and crop analysis.</w:t>
            </w:r>
          </w:p>
          <w:p>
            <w:pPr>
              <w:spacing w:before="80" w:after="120" w:line="276" w:lineRule="auto"/>
              <w:jc w:val="both"/>
            </w:pPr>
            <w:r>
              <w:rPr>
                <w:rFonts w:ascii="Calibri" w:hAnsi="Calibri"/>
                <w:color w:val="262626"/>
                <w:sz w:val="20"/>
              </w:rPr>
              <w:t>In this system, JEPA is used to learn useful features from millet seed images without needing a large amount of labeled data. These features are then combined with crop and environmental details such as soil moisture, temperature, humidity, rainfall, soil pH, and seed type. A machine learning model uses this combined data to predict whether the seed will germinate or not. Along with this, a fine-tuned LLM explains the prediction in simple language and gives useful suggestions for better seed selection and crop management, making the system easy to understand and use.</w:t>
            </w:r>
          </w:p>
          <w:p>
            <w:pPr>
              <w:spacing w:before="80" w:after="120" w:line="276" w:lineRule="auto"/>
              <w:jc w:val="both"/>
            </w:pPr>
            <w:r>
              <w:rPr>
                <w:rFonts w:ascii="Calibri" w:hAnsi="Calibri"/>
                <w:color w:val="262626"/>
                <w:sz w:val="20"/>
              </w:rPr>
              <w:t>The model performance is tested using measures like accuracy, precision, recall, F1-score, and confusion matrix. The system is developed as a web application where users can upload seed images, enter crop details, and get germination predictions along with helpful explanations. By combining image analysis, crop data, and AI explanations, this system provides a simple, fast, and cost-effective way to check seed quality.</w:t>
            </w:r>
          </w:p>
          <w:p>
            <w:pPr>
              <w:spacing w:before="160" w:after="0"/>
            </w:pPr>
            <w:r>
              <w:rPr>
                <w:rFonts w:ascii="Calibri" w:hAnsi="Calibri"/>
                <w:b/>
                <w:color w:val="1B365D"/>
                <w:sz w:val="19"/>
              </w:rPr>
              <w:t xml:space="preserve">Keywords: </w:t>
            </w:r>
            <w:r>
              <w:rPr>
                <w:rFonts w:ascii="Calibri" w:hAnsi="Calibri"/>
                <w:i/>
                <w:color w:val="262626"/>
                <w:sz w:val="19"/>
              </w:rPr>
              <w:t>Millet Seed Germination, Joint Embedding Predictive Architecture (JEPA), Fine-Tuned LLMs, Precision Agriculture, Soil &amp; Climate Analytics, Crop Yield Optimization.</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Multimodal Agronomic Inputs</w:t>
      </w:r>
    </w:p>
    <w:p>
      <w:pPr>
        <w:pStyle w:val="ListBullet"/>
        <w:spacing w:before="20" w:after="40" w:line="276" w:lineRule="auto"/>
      </w:pPr>
      <w:r>
        <w:rPr>
          <w:rFonts w:ascii="Calibri" w:hAnsi="Calibri"/>
          <w:b/>
          <w:color w:val="262626"/>
          <w:sz w:val="20"/>
        </w:rPr>
        <w:t>Seed Morphological Vision Embeddings:</w:t>
      </w:r>
      <w:r>
        <w:rPr>
          <w:rFonts w:ascii="Calibri" w:hAnsi="Calibri"/>
          <w:color w:val="262626"/>
          <w:sz w:val="20"/>
        </w:rPr>
        <w:t xml:space="preserve"> Extracted via JEPA self-supervised vision models (seed coat integrity, embryo size, discoloration).</w:t>
      </w:r>
    </w:p>
    <w:p>
      <w:pPr>
        <w:pStyle w:val="ListBullet"/>
        <w:spacing w:before="20" w:after="40" w:line="276" w:lineRule="auto"/>
      </w:pPr>
      <w:r>
        <w:rPr>
          <w:rFonts w:ascii="Calibri" w:hAnsi="Calibri"/>
          <w:b/>
          <w:color w:val="262626"/>
          <w:sz w:val="20"/>
        </w:rPr>
        <w:t>Agronomic &amp; Soil Parameters:</w:t>
      </w:r>
      <w:r>
        <w:rPr>
          <w:rFonts w:ascii="Calibri" w:hAnsi="Calibri"/>
          <w:color w:val="262626"/>
          <w:sz w:val="20"/>
        </w:rPr>
        <w:t xml:space="preserve"> Soil moisture %, soil pH, ambient temperature, relative humidity, and historical precipitation.</w:t>
      </w:r>
    </w:p>
    <w:p>
      <w:pPr>
        <w:pStyle w:val="ListBullet"/>
        <w:spacing w:before="20" w:after="40" w:line="276" w:lineRule="auto"/>
      </w:pPr>
      <w:r>
        <w:rPr>
          <w:rFonts w:ascii="Calibri" w:hAnsi="Calibri"/>
          <w:b/>
          <w:color w:val="262626"/>
          <w:sz w:val="20"/>
        </w:rPr>
        <w:t>Predictive Classifier:</w:t>
      </w:r>
      <w:r>
        <w:rPr>
          <w:rFonts w:ascii="Calibri" w:hAnsi="Calibri"/>
          <w:color w:val="262626"/>
          <w:sz w:val="20"/>
        </w:rPr>
        <w:t xml:space="preserve"> Non-linear ML ensemble forecasting germination success probability.</w:t>
      </w:r>
    </w:p>
    <w:p>
      <w:pPr>
        <w:pStyle w:val="ListBullet"/>
        <w:spacing w:before="20" w:after="40" w:line="276" w:lineRule="auto"/>
      </w:pPr>
      <w:r>
        <w:rPr>
          <w:rFonts w:ascii="Calibri" w:hAnsi="Calibri"/>
          <w:b/>
          <w:color w:val="262626"/>
          <w:sz w:val="20"/>
        </w:rPr>
        <w:t>Advisory LLM Explainer:</w:t>
      </w:r>
      <w:r>
        <w:rPr>
          <w:rFonts w:ascii="Calibri" w:hAnsi="Calibri"/>
          <w:color w:val="262626"/>
          <w:sz w:val="20"/>
        </w:rPr>
        <w:t xml:space="preserve"> Produces natural language sowing recommendations and optimal irrigation schedules.</w:t>
      </w:r>
    </w:p>
    <w:p>
      <w:pPr>
        <w:spacing w:before="160" w:after="40"/>
      </w:pPr>
      <w:r>
        <w:rPr>
          <w:rFonts w:ascii="Calibri" w:hAnsi="Calibri"/>
          <w:b/>
          <w:color w:val="2E75B6"/>
          <w:sz w:val="22"/>
        </w:rPr>
        <w:t>Impact</w:t>
      </w:r>
    </w:p>
    <w:p>
      <w:pPr>
        <w:spacing w:before="40" w:after="80" w:line="276" w:lineRule="auto"/>
        <w:jc w:val="both"/>
      </w:pPr>
      <w:r>
        <w:rPr>
          <w:rFonts w:ascii="Calibri" w:hAnsi="Calibri"/>
          <w:color w:val="262626"/>
          <w:sz w:val="20"/>
        </w:rPr>
        <w:t>Assists millet cultivators and seed testing laboratories in certifying high-viability seed batches and minimizing sowing wastage.</w:t>
      </w:r>
    </w:p>
    <w:p>
      <w:r>
        <w:br w:type="page"/>
      </w:r>
    </w:p>
    <w:p>
      <w:pPr>
        <w:spacing w:before="80" w:after="40"/>
      </w:pPr>
      <w:r>
        <w:rPr>
          <w:rFonts w:ascii="Calibri" w:hAnsi="Calibri"/>
          <w:b/>
          <w:color w:val="2E75B6"/>
          <w:sz w:val="22"/>
        </w:rPr>
        <w:t>PROJECT #13 — BATCH NO: A-14</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Plastic Detection in Oceans Using Artificial Intelligence</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A-14</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Vision, Deep Learning, Marine Robotics &amp; Environmental Conservation</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A14.docx (DOCX Document (Embedded Image Abstract))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Marine plastic pollution has become a critical environmental issue, severely affecting ocean ecosystems, biodiversity, and marine life. The increasing accumulation of plastic waste in oceans poses serious threats to aquatic organisms and the overall health of marine environments. Traditional monitoring methods, such as manual inspection and marine surveys, are time-consuming, expensive, labor-intensive, and limited in coverage. Therefore, an automated and efficient solution is required for monitoring and detecting plastic debris in ocean environments.</w:t>
            </w:r>
          </w:p>
          <w:p>
            <w:pPr>
              <w:spacing w:before="80" w:after="120" w:line="276" w:lineRule="auto"/>
              <w:jc w:val="both"/>
            </w:pPr>
            <w:r>
              <w:rPr>
                <w:rFonts w:ascii="Calibri" w:hAnsi="Calibri"/>
                <w:color w:val="262626"/>
                <w:sz w:val="20"/>
              </w:rPr>
              <w:t>This project proposes an automated system for detecting plastic waste in oceans using Artificial Intelligence (AI), deep learning, and computer vision techniques. The proposed system analyzes underwater and surface-water images to identify and localize plastic debris. Unlike conventional image classification approaches that only determine whether plastic waste is present or absent, the proposed system uses object detection techniques to locate individual plastic objects by displaying bounding boxes around them. The system includes image preprocessing, AI-based object detection, object localization, confidence score generation, and visual result display.</w:t>
            </w:r>
          </w:p>
          <w:p>
            <w:pPr>
              <w:spacing w:before="80" w:after="120" w:line="276" w:lineRule="auto"/>
              <w:jc w:val="both"/>
            </w:pPr>
            <w:r>
              <w:rPr>
                <w:rFonts w:ascii="Calibri" w:hAnsi="Calibri"/>
                <w:color w:val="262626"/>
                <w:sz w:val="20"/>
              </w:rPr>
              <w:t>A computer-based prototype is developed to demonstrate the practical implementation of the proposed system. The prototype allows users to upload ocean or water images and view detected plastic waste with bounding boxes and confidence scores through a simple interface. This approach can reduce the time and effort required for manual marine pollution monitoring and improve the efficiency of plastic waste identification. The proposed system can serve as a foundation for future real-time applications, including video-based detection, drone surveillance, underwater robotic systems, and automated ocean-cleaning technologies.</w:t>
            </w:r>
          </w:p>
          <w:p>
            <w:pPr>
              <w:spacing w:before="160" w:after="0"/>
            </w:pPr>
            <w:r>
              <w:rPr>
                <w:rFonts w:ascii="Calibri" w:hAnsi="Calibri"/>
                <w:b/>
                <w:color w:val="1B365D"/>
                <w:sz w:val="19"/>
              </w:rPr>
              <w:t xml:space="preserve">Keywords: </w:t>
            </w:r>
            <w:r>
              <w:rPr>
                <w:rFonts w:ascii="Calibri" w:hAnsi="Calibri"/>
                <w:i/>
                <w:color w:val="262626"/>
                <w:sz w:val="19"/>
              </w:rPr>
              <w:t>Ocean Plastic Detection, Marine Debris Localization, Deep Learning, Object Detection (YOLO / Faster R-CNN), Computer Vision, Drone Surveillance, Environmental AI.</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Computer Vision Pipeline</w:t>
      </w:r>
    </w:p>
    <w:p>
      <w:pPr>
        <w:pStyle w:val="ListBullet"/>
        <w:spacing w:before="20" w:after="40" w:line="276" w:lineRule="auto"/>
      </w:pPr>
      <w:r>
        <w:rPr>
          <w:rFonts w:ascii="Calibri" w:hAnsi="Calibri"/>
          <w:b/>
          <w:color w:val="262626"/>
          <w:sz w:val="20"/>
        </w:rPr>
        <w:t>Underwater Image Enhancement:</w:t>
      </w:r>
      <w:r>
        <w:rPr>
          <w:rFonts w:ascii="Calibri" w:hAnsi="Calibri"/>
          <w:color w:val="262626"/>
          <w:sz w:val="20"/>
        </w:rPr>
        <w:t xml:space="preserve"> Color correction, haze removal, and light attenuation compensation for aquatic imagery.</w:t>
      </w:r>
    </w:p>
    <w:p>
      <w:pPr>
        <w:pStyle w:val="ListBullet"/>
        <w:spacing w:before="20" w:after="40" w:line="276" w:lineRule="auto"/>
      </w:pPr>
      <w:r>
        <w:rPr>
          <w:rFonts w:ascii="Calibri" w:hAnsi="Calibri"/>
          <w:b/>
          <w:color w:val="262626"/>
          <w:sz w:val="20"/>
        </w:rPr>
        <w:t>Deep Object Detection &amp; Localization:</w:t>
      </w:r>
      <w:r>
        <w:rPr>
          <w:rFonts w:ascii="Calibri" w:hAnsi="Calibri"/>
          <w:color w:val="262626"/>
          <w:sz w:val="20"/>
        </w:rPr>
        <w:t xml:space="preserve"> Predicts bounding boxes and classification labels for plastic bottles, bags, nets, and micro-aggregates.</w:t>
      </w:r>
    </w:p>
    <w:p>
      <w:pPr>
        <w:pStyle w:val="ListBullet"/>
        <w:spacing w:before="20" w:after="40" w:line="276" w:lineRule="auto"/>
      </w:pPr>
      <w:r>
        <w:rPr>
          <w:rFonts w:ascii="Calibri" w:hAnsi="Calibri"/>
          <w:b/>
          <w:color w:val="262626"/>
          <w:sz w:val="20"/>
        </w:rPr>
        <w:t>Confidence Scoring:</w:t>
      </w:r>
      <w:r>
        <w:rPr>
          <w:rFonts w:ascii="Calibri" w:hAnsi="Calibri"/>
          <w:color w:val="262626"/>
          <w:sz w:val="20"/>
        </w:rPr>
        <w:t xml:space="preserve"> Quantifies detection certainty to minimize false positives from marine organisms.</w:t>
      </w:r>
    </w:p>
    <w:p>
      <w:pPr>
        <w:pStyle w:val="ListBullet"/>
        <w:spacing w:before="20" w:after="40" w:line="276" w:lineRule="auto"/>
      </w:pPr>
      <w:r>
        <w:rPr>
          <w:rFonts w:ascii="Calibri" w:hAnsi="Calibri"/>
          <w:b/>
          <w:color w:val="262626"/>
          <w:sz w:val="20"/>
        </w:rPr>
        <w:t>User Interface:</w:t>
      </w:r>
      <w:r>
        <w:rPr>
          <w:rFonts w:ascii="Calibri" w:hAnsi="Calibri"/>
          <w:color w:val="262626"/>
          <w:sz w:val="20"/>
        </w:rPr>
        <w:t xml:space="preserve"> Web upload portal displaying localized bounding boxes, category breakdowns, and exportable geo-tagged pollution maps.</w:t>
      </w:r>
    </w:p>
    <w:p>
      <w:pPr>
        <w:spacing w:before="160" w:after="40"/>
      </w:pPr>
      <w:r>
        <w:rPr>
          <w:rFonts w:ascii="Calibri" w:hAnsi="Calibri"/>
          <w:b/>
          <w:color w:val="2E75B6"/>
          <w:sz w:val="22"/>
        </w:rPr>
        <w:t>Future Deployments</w:t>
      </w:r>
    </w:p>
    <w:p>
      <w:pPr>
        <w:spacing w:before="40" w:after="80" w:line="276" w:lineRule="auto"/>
        <w:jc w:val="both"/>
      </w:pPr>
      <w:r>
        <w:rPr>
          <w:rFonts w:ascii="Calibri" w:hAnsi="Calibri"/>
          <w:color w:val="262626"/>
          <w:sz w:val="20"/>
        </w:rPr>
        <w:t>Autonomous surface vessels (ASVs), autonomous underwater vehicles (AUVs), and aerial drone environmental patrol fleets.</w:t>
      </w:r>
    </w:p>
    <w:p>
      <w:r>
        <w:br w:type="page"/>
      </w:r>
    </w:p>
    <w:p>
      <w:pPr>
        <w:spacing w:before="80" w:after="40"/>
      </w:pPr>
      <w:r>
        <w:rPr>
          <w:rFonts w:ascii="Calibri" w:hAnsi="Calibri"/>
          <w:b/>
          <w:color w:val="2E75B6"/>
          <w:sz w:val="22"/>
        </w:rPr>
        <w:t>PROJECT #14 — BATCH NO: A-16</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AI-Driven Complex Emotion Recognition Using Facial Expression Images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A-16</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Deep Learning, Affective Computing, Computer Vision &amp; Generative AI</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A16.docx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Human emotions play an important role in communication, and facial expressions are one of the major ways to understand a person’s emotional state. Existing facial emotion recognition systems mainly focus on identifying basic emotions such as happiness, sadness, anger, fear, disgust, and surprise. However, in real-life situations, people often express more than one emotion at the same time, creating complex emotions such as happiness with surprise or sadness with fear. Detecting these mixed emotions is more difficult because traditional systems are designed for single emotion classification and cannot accurately capture complex emotional expressions.</w:t>
            </w:r>
          </w:p>
          <w:p>
            <w:pPr>
              <w:spacing w:before="80" w:after="120" w:line="276" w:lineRule="auto"/>
              <w:jc w:val="both"/>
            </w:pPr>
            <w:r>
              <w:rPr>
                <w:rFonts w:ascii="Calibri" w:hAnsi="Calibri"/>
                <w:color w:val="262626"/>
                <w:sz w:val="20"/>
              </w:rPr>
              <w:t>This project focuses on developing an AI-based system for complex emotion estimation using facial expression images. The proposed system uses Conditioned Emotion Generative Adversarial Networks (cEmoGANs) to generate synthetic facial images with mixed emotional expressions. These generated images help increase the dataset size and solve the problem of limited complex emotion samples. The model preserves facial identity while changing only the facial expression based on given emotion labels. After generating the facial images, a Convolutional Neural Network (CNN)-based multi-label classification model is trained to recognize multiple emotions present in a single image.</w:t>
            </w:r>
          </w:p>
          <w:p>
            <w:pPr>
              <w:spacing w:before="80" w:after="120" w:line="276" w:lineRule="auto"/>
              <w:jc w:val="both"/>
            </w:pPr>
            <w:r>
              <w:rPr>
                <w:rFonts w:ascii="Calibri" w:hAnsi="Calibri"/>
                <w:color w:val="262626"/>
                <w:sz w:val="20"/>
              </w:rPr>
              <w:t>The proposed system improves the performance of emotion recognition by effectively detecting both basic and complex emotions. By using generated facial images, the model learns from a larger and more diverse dataset, leading to better accuracy and improved recognition performance. Compared to traditional emotion recognition systems, this approach provides better results in identifying mixed emotions in real-world scenarios.</w:t>
            </w:r>
          </w:p>
          <w:p>
            <w:pPr>
              <w:spacing w:before="160" w:after="0"/>
            </w:pPr>
            <w:r>
              <w:rPr>
                <w:rFonts w:ascii="Calibri" w:hAnsi="Calibri"/>
                <w:b/>
                <w:color w:val="1B365D"/>
                <w:sz w:val="19"/>
              </w:rPr>
              <w:t xml:space="preserve">Keywords: </w:t>
            </w:r>
            <w:r>
              <w:rPr>
                <w:rFonts w:ascii="Calibri" w:hAnsi="Calibri"/>
                <w:i/>
                <w:color w:val="262626"/>
                <w:sz w:val="19"/>
              </w:rPr>
              <w:t>Complex Emotion Recognition, Conditioned Emotion GANs (cEmoGANs), Multi-Label CNN Classification, Facial Expression Analysis, Affective Computing, Facial Landmark Preservation.</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Generative &amp; Multi-Label Pipeline</w:t>
      </w:r>
    </w:p>
    <w:p>
      <w:pPr>
        <w:pStyle w:val="ListBullet"/>
        <w:spacing w:before="20" w:after="40" w:line="276" w:lineRule="auto"/>
      </w:pPr>
      <w:r>
        <w:rPr>
          <w:rFonts w:ascii="Calibri" w:hAnsi="Calibri"/>
          <w:b/>
          <w:color w:val="262626"/>
          <w:sz w:val="20"/>
        </w:rPr>
        <w:t>cEmoGAN Synthetic Augmentation:</w:t>
      </w:r>
      <w:r>
        <w:rPr>
          <w:rFonts w:ascii="Calibri" w:hAnsi="Calibri"/>
          <w:color w:val="262626"/>
          <w:sz w:val="20"/>
        </w:rPr>
        <w:t xml:space="preserve"> Synthesizes compound facial affective states (e.g. happily surprised, sadly fearful) while freezing subject facial identity.</w:t>
      </w:r>
    </w:p>
    <w:p>
      <w:pPr>
        <w:pStyle w:val="ListBullet"/>
        <w:spacing w:before="20" w:after="40" w:line="276" w:lineRule="auto"/>
      </w:pPr>
      <w:r>
        <w:rPr>
          <w:rFonts w:ascii="Calibri" w:hAnsi="Calibri"/>
          <w:b/>
          <w:color w:val="262626"/>
          <w:sz w:val="20"/>
        </w:rPr>
        <w:t>Multi-Label Deep Classifier:</w:t>
      </w:r>
      <w:r>
        <w:rPr>
          <w:rFonts w:ascii="Calibri" w:hAnsi="Calibri"/>
          <w:color w:val="262626"/>
          <w:sz w:val="20"/>
        </w:rPr>
        <w:t xml:space="preserve"> Convolutional Neural Network with Sigmoid cross-entropy loss outputting joint multi-emotion probabilities.</w:t>
      </w:r>
    </w:p>
    <w:p>
      <w:pPr>
        <w:pStyle w:val="ListBullet"/>
        <w:spacing w:before="20" w:after="40" w:line="276" w:lineRule="auto"/>
      </w:pPr>
      <w:r>
        <w:rPr>
          <w:rFonts w:ascii="Calibri" w:hAnsi="Calibri"/>
          <w:b/>
          <w:color w:val="262626"/>
          <w:sz w:val="20"/>
        </w:rPr>
        <w:t>Facial Alignment &amp; Normalization:</w:t>
      </w:r>
      <w:r>
        <w:rPr>
          <w:rFonts w:ascii="Calibri" w:hAnsi="Calibri"/>
          <w:color w:val="262626"/>
          <w:sz w:val="20"/>
        </w:rPr>
        <w:t xml:space="preserve"> Extracts 68 facial landmarks to align eye and mouth regions prior to classification.</w:t>
      </w:r>
    </w:p>
    <w:p>
      <w:pPr>
        <w:spacing w:before="160" w:after="40"/>
      </w:pPr>
      <w:r>
        <w:rPr>
          <w:rFonts w:ascii="Calibri" w:hAnsi="Calibri"/>
          <w:b/>
          <w:color w:val="2E75B6"/>
          <w:sz w:val="22"/>
        </w:rPr>
        <w:t>Applications</w:t>
      </w:r>
    </w:p>
    <w:p>
      <w:pPr>
        <w:spacing w:before="40" w:after="80" w:line="276" w:lineRule="auto"/>
        <w:jc w:val="both"/>
      </w:pPr>
      <w:r>
        <w:rPr>
          <w:rFonts w:ascii="Calibri" w:hAnsi="Calibri"/>
          <w:color w:val="262626"/>
          <w:sz w:val="20"/>
        </w:rPr>
        <w:t>Mental health diagnostic support, driver drowsiness and road-rage monitoring, intelligent tutoring systems, and next-generation human-computer interaction (HCI).</w:t>
      </w:r>
    </w:p>
    <w:p>
      <w:r>
        <w:br w:type="page"/>
      </w:r>
    </w:p>
    <w:p>
      <w:pPr>
        <w:spacing w:before="80" w:after="40"/>
      </w:pPr>
      <w:r>
        <w:rPr>
          <w:rFonts w:ascii="Calibri" w:hAnsi="Calibri"/>
          <w:b/>
          <w:color w:val="2E75B6"/>
          <w:sz w:val="22"/>
        </w:rPr>
        <w:t>PROJECT #15 — BATCH NO: A-17</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CropSight: Smart Crop Delivery with AI-Based Price and Quality Intelligence</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A-17</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Machine Learning, IoT &amp; Agri-Supply Chain Optimization</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w:t>
            </w:r>
          </w:p>
        </w:tc>
        <w:tc>
          <w:tcPr>
            <w:tcW w:type="dxa" w:w="6768"/>
            <w:shd w:fill="FAFCFF"/>
            <w:tcMar>
              <w:top w:w="80" w:type="dxa"/>
              <w:bottom w:w="80" w:type="dxa"/>
              <w:left w:w="120" w:type="dxa"/>
              <w:right w:w="120" w:type="dxa"/>
            </w:tcMar>
          </w:tcPr>
          <w:p>
            <w:pPr>
              <w:spacing w:after="0"/>
            </w:pPr>
            <w:r>
              <w:rPr>
                <w:rFonts w:ascii="Calibri" w:hAnsi="Calibri"/>
                <w:color w:val="262626"/>
                <w:sz w:val="19"/>
              </w:rPr>
              <w:t>A17.docx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Agriculture is facing significant challenges due to fluctuating market prices, inconsistent crop quality assessment, supply chain inefficiencies, and limited access to real-time decision support for farmers. To address these issues, this project, CropSight: Smart Crop Delivery with AI-Based Price and Quality Intelligence, presents an intelligent agricultural platform that integrates Artificial Intelligence (AI), Machine Learning (ML), and Internet of Things (IoT) technologies. The system enables farmers to assess crop quality, predict market prices, and streamline crop delivery processes through a data-driven and automated approach, thereby enhancing profitability and reducing post-harvest losses.</w:t>
            </w:r>
          </w:p>
          <w:p>
            <w:pPr>
              <w:spacing w:before="80" w:after="120" w:line="276" w:lineRule="auto"/>
              <w:jc w:val="both"/>
            </w:pPr>
            <w:r>
              <w:rPr>
                <w:rFonts w:ascii="Calibri" w:hAnsi="Calibri"/>
                <w:color w:val="262626"/>
                <w:sz w:val="20"/>
              </w:rPr>
              <w:t>The proposed framework utilizes image-based crop quality analysis to evaluate factors such as size, color, texture, and defects using deep learning models. Simultaneously, machine learning algorithms analyze historical market trends, weather conditions, demand patterns, and regional price variations to generate accurate crop price predictions. IoT sensors and cloud-based services provide real-time monitoring of storage and transportation conditions, ensuring that crops maintain their quality throughout the supply chain. The platform also incorporates explainable AI techniques to provide transparent insights into quality grading and pricing decisions.</w:t>
            </w:r>
          </w:p>
          <w:p>
            <w:pPr>
              <w:spacing w:before="80" w:after="120" w:line="276" w:lineRule="auto"/>
              <w:jc w:val="both"/>
            </w:pPr>
            <w:r>
              <w:rPr>
                <w:rFonts w:ascii="Calibri" w:hAnsi="Calibri"/>
                <w:color w:val="262626"/>
                <w:sz w:val="20"/>
              </w:rPr>
              <w:t>Furthermore, CropSight features a smart delivery recommendation module that connects farmers, distributors, and buyers through an integrated digital marketplace. The system recommends optimal delivery routes, suitable buyers, and the best time for selling crops to maximize returns. By combining quality intelligence, price forecasting, and smart logistics, the proposed solution improves supply chain efficiency, promotes fair pricing, reduces wastage, and empowers farmers with actionable insights for sustainable and profitable agriculture.</w:t>
            </w:r>
          </w:p>
          <w:p>
            <w:pPr>
              <w:spacing w:before="160" w:after="0"/>
            </w:pPr>
            <w:r>
              <w:rPr>
                <w:rFonts w:ascii="Calibri" w:hAnsi="Calibri"/>
                <w:b/>
                <w:color w:val="1B365D"/>
                <w:sz w:val="19"/>
              </w:rPr>
              <w:t xml:space="preserve">Keywords: </w:t>
            </w:r>
            <w:r>
              <w:rPr>
                <w:rFonts w:ascii="Calibri" w:hAnsi="Calibri"/>
                <w:i/>
                <w:color w:val="262626"/>
                <w:sz w:val="19"/>
              </w:rPr>
              <w:t>CropSight, Crop Quality Grading, AI Price Forecasting, IoT Supply Chain Telemetry, Smart Logistics, Digital Marketplace, Post-Harvest Loss Mitigation, Explainable AI.</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Three-Pillar Intelligence Architecture</w:t>
      </w:r>
    </w:p>
    <w:p>
      <w:pPr>
        <w:pStyle w:val="ListBullet"/>
        <w:spacing w:before="20" w:after="40" w:line="276" w:lineRule="auto"/>
      </w:pPr>
      <w:r>
        <w:rPr>
          <w:rFonts w:ascii="Calibri" w:hAnsi="Calibri"/>
          <w:b/>
          <w:color w:val="262626"/>
          <w:sz w:val="20"/>
        </w:rPr>
        <w:t>Pillar 1 - Deep Quality Grading:</w:t>
      </w:r>
      <w:r>
        <w:rPr>
          <w:rFonts w:ascii="Calibri" w:hAnsi="Calibri"/>
          <w:color w:val="262626"/>
          <w:sz w:val="20"/>
        </w:rPr>
        <w:t xml:space="preserve"> Computer vision analysis scoring produce size, skin defects, ripeness, and grading (Grade A/B/C).</w:t>
      </w:r>
    </w:p>
    <w:p>
      <w:pPr>
        <w:pStyle w:val="ListBullet"/>
        <w:spacing w:before="20" w:after="40" w:line="276" w:lineRule="auto"/>
      </w:pPr>
      <w:r>
        <w:rPr>
          <w:rFonts w:ascii="Calibri" w:hAnsi="Calibri"/>
          <w:b/>
          <w:color w:val="262626"/>
          <w:sz w:val="20"/>
        </w:rPr>
        <w:t>Pillar 2 - Dynamic Price Forecasting:</w:t>
      </w:r>
      <w:r>
        <w:rPr>
          <w:rFonts w:ascii="Calibri" w:hAnsi="Calibri"/>
          <w:color w:val="262626"/>
          <w:sz w:val="20"/>
        </w:rPr>
        <w:t xml:space="preserve"> Time-series ML forecasting regional mandi prices considering seasonal demand and weather volatility.</w:t>
      </w:r>
    </w:p>
    <w:p>
      <w:pPr>
        <w:pStyle w:val="ListBullet"/>
        <w:spacing w:before="20" w:after="40" w:line="276" w:lineRule="auto"/>
      </w:pPr>
      <w:r>
        <w:rPr>
          <w:rFonts w:ascii="Calibri" w:hAnsi="Calibri"/>
          <w:color w:val="262626"/>
          <w:sz w:val="20"/>
        </w:rPr>
        <w:t>Pillar 3 - IoT Smart Logistics &amp; Route Optimization: Cold-chain transit telemetry (temperature/humidity tracking) and optimal transport routing connecting farms directly to buyers.</w:t>
      </w:r>
    </w:p>
    <w:p>
      <w:pPr>
        <w:spacing w:before="160" w:after="40"/>
      </w:pPr>
      <w:r>
        <w:rPr>
          <w:rFonts w:ascii="Calibri" w:hAnsi="Calibri"/>
          <w:b/>
          <w:color w:val="2E75B6"/>
          <w:sz w:val="22"/>
        </w:rPr>
        <w:t>Impact</w:t>
      </w:r>
    </w:p>
    <w:p>
      <w:pPr>
        <w:spacing w:before="40" w:after="80" w:line="276" w:lineRule="auto"/>
        <w:jc w:val="both"/>
      </w:pPr>
      <w:r>
        <w:rPr>
          <w:rFonts w:ascii="Calibri" w:hAnsi="Calibri"/>
          <w:color w:val="262626"/>
          <w:sz w:val="20"/>
        </w:rPr>
        <w:t>Empowers smallholder farmers against predatory middlemen pricing and curbs post-harvest perishability waste.</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