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color w:val="2E75B6"/>
          <w:sz w:val="21"/>
        </w:rPr>
        <w:t>TKR COLLEGE OF ENGINEERING &amp; TECHNOLOGY (AUTONOMOUS)</w:t>
      </w:r>
    </w:p>
    <w:p>
      <w:pPr>
        <w:spacing w:after="240" w:before="0"/>
        <w:jc w:val="center"/>
      </w:pPr>
      <w:r>
        <w:rPr>
          <w:rFonts w:ascii="Calibri" w:hAnsi="Calibri"/>
          <w:b/>
          <w:color w:val="595959"/>
          <w:sz w:val="19"/>
        </w:rPr>
        <w:t>Department of Computer Science and Engineering (Data Science)  |  Batch No: A-01</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AI Health Insurance Assistance Using LLM + RAG</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A-01</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Branch</w:t>
            </w:r>
          </w:p>
        </w:tc>
        <w:tc>
          <w:tcPr>
            <w:tcW w:type="dxa" w:w="6768"/>
            <w:shd w:fill="FAFCFF"/>
            <w:tcMar>
              <w:top w:w="80" w:type="dxa"/>
              <w:bottom w:w="80" w:type="dxa"/>
              <w:left w:w="120" w:type="dxa"/>
              <w:right w:w="120" w:type="dxa"/>
            </w:tcMar>
          </w:tcPr>
          <w:p>
            <w:pPr>
              <w:spacing w:after="0"/>
            </w:pPr>
            <w:r>
              <w:rPr>
                <w:rFonts w:ascii="Calibri" w:hAnsi="Calibri"/>
                <w:color w:val="262626"/>
                <w:sz w:val="19"/>
              </w:rPr>
              <w:t>CSE (Data Science) - CSDS-A</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Project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Artificial Intelligence, Natural Language Processing &amp; InsurTech</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 File</w:t>
            </w:r>
          </w:p>
        </w:tc>
        <w:tc>
          <w:tcPr>
            <w:tcW w:type="dxa" w:w="6768"/>
            <w:shd w:fill="FAFCFF"/>
            <w:tcMar>
              <w:top w:w="80" w:type="dxa"/>
              <w:bottom w:w="80" w:type="dxa"/>
              <w:left w:w="120" w:type="dxa"/>
              <w:right w:w="120" w:type="dxa"/>
            </w:tcMar>
          </w:tcPr>
          <w:p>
            <w:pPr>
              <w:spacing w:after="0"/>
            </w:pPr>
            <w:r>
              <w:rPr>
                <w:rFonts w:ascii="Calibri" w:hAnsi="Calibri"/>
                <w:color w:val="262626"/>
                <w:sz w:val="19"/>
              </w:rPr>
              <w:t>A1.docx (DOCX Document)</w:t>
            </w:r>
          </w:p>
        </w:tc>
      </w:tr>
    </w:tbl>
    <w:p>
      <w:pPr>
        <w:spacing w:before="80" w:after="80"/>
      </w:pPr>
    </w:p>
    <w:p>
      <w:pPr>
        <w:spacing w:before="160" w:after="80"/>
      </w:pPr>
      <w:r>
        <w:rPr>
          <w:rFonts w:ascii="Calibri" w:hAnsi="Calibri"/>
          <w:b/>
          <w:color w:val="1B365D"/>
          <w:sz w:val="24"/>
        </w:rPr>
        <w:t>Project Team Members</w:t>
      </w:r>
    </w:p>
    <w:p>
      <w:r>
        <w:rPr>
          <w:rFonts w:ascii="Calibri" w:hAnsi="Calibri"/>
          <w:i/>
          <w:color w:val="595959"/>
          <w:sz w:val="19"/>
        </w:rPr>
        <w:t>Team member registration list pending batch allotment.</w:t>
      </w: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AI Health Insurance Assistance Using LLM + RAG addresses persistent barriers in accessibility and transparency across policy selection and claims management. The platform translates dense insurance documents into concise, user-ready insights by automatically extracting key attributes such as policy numbers, coverage limits, deductibles, exclusions, and benefit rules. A conversational interface enables users to ask policy-specific questions and receive grounded, plain-language answers that reference the relevant clauses, helping them understand what is covered, what is not, and the conditions that apply. By turning complex documentation into guided explanations, the system reduces dependence on expert intermediaries and empowers users to make informed decisions with confidence.</w:t>
            </w:r>
          </w:p>
          <w:p>
            <w:pPr>
              <w:spacing w:before="80" w:after="120" w:line="276" w:lineRule="auto"/>
              <w:jc w:val="both"/>
            </w:pPr>
            <w:r>
              <w:rPr>
                <w:rFonts w:ascii="Calibri" w:hAnsi="Calibri"/>
                <w:color w:val="262626"/>
                <w:sz w:val="20"/>
              </w:rPr>
              <w:t>Beyond document understanding, the assistant streamlines routine claim tasks with step-by-step guidance—pre-checks for eligibility, evidence checklists, and procedural instructions—while surfacing cost and coverage trade-offs to support plan comparison. Answers are anchored to retrieved policy content to improve reliability and traceability, and summaries highlight potential risks, exceptions, and next actions. The result is a user-centric experience that shortens decision cycles, improves policy comprehension, and lowers friction throughout the claims journey, laying a foundation for extensions such as proactive benefit notifications, integration with provider portals, and personalized recommendations aligned to individual needs.</w:t>
            </w:r>
          </w:p>
          <w:p>
            <w:pPr>
              <w:spacing w:before="160" w:after="0"/>
            </w:pPr>
            <w:r>
              <w:rPr>
                <w:rFonts w:ascii="Calibri" w:hAnsi="Calibri"/>
                <w:b/>
                <w:color w:val="1B365D"/>
                <w:sz w:val="19"/>
              </w:rPr>
              <w:t xml:space="preserve">Keywords: </w:t>
            </w:r>
            <w:r>
              <w:rPr>
                <w:rFonts w:ascii="Calibri" w:hAnsi="Calibri"/>
                <w:i/>
                <w:color w:val="262626"/>
                <w:sz w:val="19"/>
              </w:rPr>
              <w:t>Health Insurance Assistance, Large Language Models (LLM), Retrieval-Augmented Generation (RAG), Policy Comprehension, Claims Management, Context-Aware Q&amp;A, InsurTech.</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Core Architectural Capabilities</w:t>
      </w:r>
    </w:p>
    <w:p>
      <w:pPr>
        <w:pStyle w:val="ListBullet"/>
        <w:spacing w:before="20" w:after="40" w:line="276" w:lineRule="auto"/>
      </w:pPr>
      <w:r>
        <w:rPr>
          <w:rFonts w:ascii="Calibri" w:hAnsi="Calibri"/>
          <w:b/>
          <w:color w:val="262626"/>
          <w:sz w:val="20"/>
        </w:rPr>
        <w:t>Automated Policy Attribute Extraction:</w:t>
      </w:r>
      <w:r>
        <w:rPr>
          <w:rFonts w:ascii="Calibri" w:hAnsi="Calibri"/>
          <w:color w:val="262626"/>
          <w:sz w:val="20"/>
        </w:rPr>
        <w:t xml:space="preserve"> Identifies policy IDs, coverage limits, copays, deductibles, waiting periods, and exclusions.</w:t>
      </w:r>
    </w:p>
    <w:p>
      <w:pPr>
        <w:pStyle w:val="ListBullet"/>
        <w:spacing w:before="20" w:after="40" w:line="276" w:lineRule="auto"/>
      </w:pPr>
      <w:r>
        <w:rPr>
          <w:rFonts w:ascii="Calibri" w:hAnsi="Calibri"/>
          <w:b/>
          <w:color w:val="262626"/>
          <w:sz w:val="20"/>
        </w:rPr>
        <w:t>RAG Semantic Retrieval Engine:</w:t>
      </w:r>
      <w:r>
        <w:rPr>
          <w:rFonts w:ascii="Calibri" w:hAnsi="Calibri"/>
          <w:color w:val="262626"/>
          <w:sz w:val="20"/>
        </w:rPr>
        <w:t xml:space="preserve"> Searches dense policy clauses to ground LLM responses strictly in uploaded contract PDFs.</w:t>
      </w:r>
    </w:p>
    <w:p>
      <w:pPr>
        <w:pStyle w:val="ListBullet"/>
        <w:spacing w:before="20" w:after="40" w:line="276" w:lineRule="auto"/>
      </w:pPr>
      <w:r>
        <w:rPr>
          <w:rFonts w:ascii="Calibri" w:hAnsi="Calibri"/>
          <w:b/>
          <w:color w:val="262626"/>
          <w:sz w:val="20"/>
        </w:rPr>
        <w:t>Guided Claim Pre-Check Assistant:</w:t>
      </w:r>
      <w:r>
        <w:rPr>
          <w:rFonts w:ascii="Calibri" w:hAnsi="Calibri"/>
          <w:color w:val="262626"/>
          <w:sz w:val="20"/>
        </w:rPr>
        <w:t xml:space="preserve"> Validates eligibility requirements and generates evidence checklists for claim filing.</w:t>
      </w:r>
    </w:p>
    <w:p>
      <w:pPr>
        <w:pStyle w:val="ListBullet"/>
        <w:spacing w:before="20" w:after="40" w:line="276" w:lineRule="auto"/>
      </w:pPr>
      <w:r>
        <w:rPr>
          <w:rFonts w:ascii="Calibri" w:hAnsi="Calibri"/>
          <w:b/>
          <w:color w:val="262626"/>
          <w:sz w:val="20"/>
        </w:rPr>
        <w:t>Transparent Cost Trade-Off Comparison:</w:t>
      </w:r>
      <w:r>
        <w:rPr>
          <w:rFonts w:ascii="Calibri" w:hAnsi="Calibri"/>
          <w:color w:val="262626"/>
          <w:sz w:val="20"/>
        </w:rPr>
        <w:t xml:space="preserve"> Evaluates multiple insurance plans against personalized user health risk profiles.</w:t>
      </w:r>
    </w:p>
    <w:p>
      <w:pPr>
        <w:spacing w:before="160" w:after="40"/>
      </w:pPr>
      <w:r>
        <w:rPr>
          <w:rFonts w:ascii="Calibri" w:hAnsi="Calibri"/>
          <w:b/>
          <w:color w:val="2E75B6"/>
          <w:sz w:val="22"/>
        </w:rPr>
        <w:t>Expected Impact</w:t>
      </w:r>
    </w:p>
    <w:p>
      <w:pPr>
        <w:spacing w:before="40" w:after="80" w:line="276" w:lineRule="auto"/>
        <w:jc w:val="both"/>
      </w:pPr>
      <w:r>
        <w:rPr>
          <w:rFonts w:ascii="Calibri" w:hAnsi="Calibri"/>
          <w:color w:val="262626"/>
          <w:sz w:val="20"/>
        </w:rPr>
        <w:t>Drastically reduces policy ambiguity, minimizes claim rejection rates caused by misunderstanding fine-print exclusions, and democratizes legal/insurance comprehension.</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7"/>
      </w:rPr>
      <w:t>Major Project Synopsis &amp; Abstract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TKR College of Engineering &amp; Technology | CSE (Data Science) | CSDS-A Projects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