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 Dynamic Phishing URL Detection System Integrating Advanced Machine Learning and Crowdsourced Threat Intelligence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Machine Learning &amp; Threat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A3.docx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Phishing attacks have become one of the most significant cybersecurity threats, targeting individuals and organizations by using deceptive websites to steal sensitive information such as usernames, passwords, banking credentials, and personal data. Traditional phishing detection techniques, which primarily rely on static blacklists or manually updated databases, often fail to identify newly emerging (zero-day) phishing websites. To address this challenge, this project proposes 'A Dynamic Phishing URL Detection System Integrating Advanced Machine Learning and Crowdsourced Threat Intelligence.'</w:t>
            </w:r>
          </w:p>
          <w:p>
            <w:pPr>
              <w:spacing w:before="80" w:after="120" w:line="276" w:lineRule="auto"/>
              <w:jc w:val="both"/>
            </w:pPr>
            <w:r>
              <w:rPr>
                <w:rFonts w:ascii="Calibri" w:hAnsi="Calibri"/>
                <w:color w:val="262626"/>
                <w:sz w:val="20"/>
              </w:rPr>
              <w:t>The proposed system utilizes advanced Machine Learning algorithms to analyze and classify URLs based on multiple lexical, structural, and domain-based features, enabling the detection of malicious websites with high accuracy. In addition to machine learning, the system integrates crowdsourced threat intelligence collected from trusted cybersecurity communities and threat-sharing platforms. This continuously updated threat data enhances the model's ability to recognize newly discovered phishing URLs and adapt to evolving attack patterns.</w:t>
            </w:r>
          </w:p>
          <w:p>
            <w:pPr>
              <w:spacing w:before="80" w:after="120" w:line="276" w:lineRule="auto"/>
              <w:jc w:val="both"/>
            </w:pPr>
            <w:r>
              <w:rPr>
                <w:rFonts w:ascii="Calibri" w:hAnsi="Calibri"/>
                <w:color w:val="262626"/>
                <w:sz w:val="20"/>
              </w:rPr>
              <w:t>The system follows a complete pipeline that includes data collection, preprocessing, feature extraction, model training, phishing URL classification, and real-time threat intelligence integration. Multiple machine learning algorithms, such as Random Forest, XGBoost, and Logistic Regression, can be evaluated to identify the model with the best performance in terms of accuracy, precision, recall, and F1-score. By combining predictive machine learning with real-time threat intelligence, the proposed solution provides faster detection, improved adaptability, and reduced false positives compared to conventional phishing detection methods.</w:t>
            </w:r>
          </w:p>
          <w:p>
            <w:pPr>
              <w:spacing w:before="160" w:after="0"/>
            </w:pPr>
            <w:r>
              <w:rPr>
                <w:rFonts w:ascii="Calibri" w:hAnsi="Calibri"/>
                <w:b/>
                <w:color w:val="1B365D"/>
                <w:sz w:val="19"/>
              </w:rPr>
              <w:t xml:space="preserve">Keywords: </w:t>
            </w:r>
            <w:r>
              <w:rPr>
                <w:rFonts w:ascii="Calibri" w:hAnsi="Calibri"/>
                <w:i/>
                <w:color w:val="262626"/>
                <w:sz w:val="19"/>
              </w:rPr>
              <w:t>Phishing Detection, URL Feature Engineering, Machine Learning, Crowdsourced Threat Intelligence, XGBoost, Random Forest, Zero-Day Phishing, Lexical Analysis.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Feature Engineering Dimensions</w:t>
      </w:r>
    </w:p>
    <w:p>
      <w:pPr>
        <w:pStyle w:val="ListBullet"/>
        <w:spacing w:before="20" w:after="40" w:line="276" w:lineRule="auto"/>
      </w:pPr>
      <w:r>
        <w:rPr>
          <w:rFonts w:ascii="Calibri" w:hAnsi="Calibri"/>
          <w:b/>
          <w:color w:val="262626"/>
          <w:sz w:val="20"/>
        </w:rPr>
        <w:t>Lexical &amp; String Features:</w:t>
      </w:r>
      <w:r>
        <w:rPr>
          <w:rFonts w:ascii="Calibri" w:hAnsi="Calibri"/>
          <w:color w:val="262626"/>
          <w:sz w:val="20"/>
        </w:rPr>
        <w:t xml:space="preserve"> URL length, entropy, special symbol ratios (@, //, -, _), sub-domain depth, and IP address host indicators.</w:t>
      </w:r>
    </w:p>
    <w:p>
      <w:pPr>
        <w:pStyle w:val="ListBullet"/>
        <w:spacing w:before="20" w:after="40" w:line="276" w:lineRule="auto"/>
      </w:pPr>
      <w:r>
        <w:rPr>
          <w:rFonts w:ascii="Calibri" w:hAnsi="Calibri"/>
          <w:b/>
          <w:color w:val="262626"/>
          <w:sz w:val="20"/>
        </w:rPr>
        <w:t>Structural &amp; HTML Features:</w:t>
      </w:r>
      <w:r>
        <w:rPr>
          <w:rFonts w:ascii="Calibri" w:hAnsi="Calibri"/>
          <w:color w:val="262626"/>
          <w:sz w:val="20"/>
        </w:rPr>
        <w:t xml:space="preserve"> Form action URLs, iframe embeds, disabled right-click scripts, and external anchor ratios.</w:t>
      </w:r>
    </w:p>
    <w:p>
      <w:pPr>
        <w:pStyle w:val="ListBullet"/>
        <w:spacing w:before="20" w:after="40" w:line="276" w:lineRule="auto"/>
      </w:pPr>
      <w:r>
        <w:rPr>
          <w:rFonts w:ascii="Calibri" w:hAnsi="Calibri"/>
          <w:b/>
          <w:color w:val="262626"/>
          <w:sz w:val="20"/>
        </w:rPr>
        <w:t>Domain &amp; Network Attributes:</w:t>
      </w:r>
      <w:r>
        <w:rPr>
          <w:rFonts w:ascii="Calibri" w:hAnsi="Calibri"/>
          <w:color w:val="262626"/>
          <w:sz w:val="20"/>
        </w:rPr>
        <w:t xml:space="preserve"> WHOIS domain age, DNS TTL values, SSL/TLS certificate validity, and Alexa/Tranco rank.</w:t>
      </w:r>
    </w:p>
    <w:p>
      <w:pPr>
        <w:pStyle w:val="ListBullet"/>
        <w:spacing w:before="20" w:after="40" w:line="276" w:lineRule="auto"/>
      </w:pPr>
      <w:r>
        <w:rPr>
          <w:rFonts w:ascii="Calibri" w:hAnsi="Calibri"/>
          <w:b/>
          <w:color w:val="262626"/>
          <w:sz w:val="20"/>
        </w:rPr>
        <w:t>Crowdsourced Threat Ingestion:</w:t>
      </w:r>
      <w:r>
        <w:rPr>
          <w:rFonts w:ascii="Calibri" w:hAnsi="Calibri"/>
          <w:color w:val="262626"/>
          <w:sz w:val="20"/>
        </w:rPr>
        <w:t xml:space="preserve"> Continuous synchronization with live community threat feeds.</w:t>
      </w:r>
    </w:p>
    <w:p>
      <w:pPr>
        <w:spacing w:before="160" w:after="40"/>
      </w:pPr>
      <w:r>
        <w:rPr>
          <w:rFonts w:ascii="Calibri" w:hAnsi="Calibri"/>
          <w:b/>
          <w:color w:val="2E75B6"/>
          <w:sz w:val="22"/>
        </w:rPr>
        <w:t>Algorithms Evaluated</w:t>
      </w:r>
    </w:p>
    <w:p>
      <w:pPr>
        <w:spacing w:before="40" w:after="80" w:line="276" w:lineRule="auto"/>
        <w:jc w:val="both"/>
      </w:pPr>
      <w:r>
        <w:rPr>
          <w:rFonts w:ascii="Calibri" w:hAnsi="Calibri"/>
          <w:color w:val="262626"/>
          <w:sz w:val="20"/>
        </w:rPr>
        <w:t>Random Forest, XGBoost Classifier, Logistic Regression, LightGBM.</w:t>
      </w:r>
    </w:p>
    <w:p>
      <w:pPr>
        <w:spacing w:before="160" w:after="40"/>
      </w:pPr>
      <w:r>
        <w:rPr>
          <w:rFonts w:ascii="Calibri" w:hAnsi="Calibri"/>
          <w:b/>
          <w:color w:val="2E75B6"/>
          <w:sz w:val="22"/>
        </w:rPr>
        <w:t>Outcome</w:t>
      </w:r>
    </w:p>
    <w:p>
      <w:pPr>
        <w:spacing w:before="40" w:after="80" w:line="276" w:lineRule="auto"/>
        <w:jc w:val="both"/>
      </w:pPr>
      <w:r>
        <w:rPr>
          <w:rFonts w:ascii="Calibri" w:hAnsi="Calibri"/>
          <w:color w:val="262626"/>
          <w:sz w:val="20"/>
        </w:rPr>
        <w:t>Delivers zero-day protection against ephemeral phishing landing pages with low latency browser-level scoring.</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