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A-05</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JEPA-LLM Tuning Framework for Combating GST and Sales Tax Input Tax Credit Fraud Pattern Detection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A-05</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Self-Supervised Learning &amp; Financial Forensic Analytics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A5.docx (DOCX Document)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Coordinator</w:t>
            </w:r>
          </w:p>
        </w:tc>
        <w:tc>
          <w:tcPr>
            <w:tcW w:type="dxa" w:w="6768"/>
            <w:shd w:fill="FAFCFF"/>
            <w:tcMar>
              <w:top w:w="80" w:type="dxa"/>
              <w:bottom w:w="80" w:type="dxa"/>
              <w:left w:w="120" w:type="dxa"/>
              <w:right w:w="120" w:type="dxa"/>
            </w:tcMar>
          </w:tcPr>
          <w:p>
            <w:pPr>
              <w:spacing w:after="0"/>
            </w:pPr>
            <w:r>
              <w:rPr>
                <w:rFonts w:ascii="Calibri" w:hAnsi="Calibri"/>
                <w:color w:val="262626"/>
                <w:sz w:val="19"/>
              </w:rPr>
              <w:t>A. MUTHU</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Faculty Project Guide</w:t>
            </w:r>
          </w:p>
        </w:tc>
        <w:tc>
          <w:tcPr>
            <w:tcW w:type="dxa" w:w="6768"/>
            <w:shd w:fill="FAFCFF"/>
            <w:tcMar>
              <w:top w:w="80" w:type="dxa"/>
              <w:bottom w:w="80" w:type="dxa"/>
              <w:left w:w="120" w:type="dxa"/>
              <w:right w:w="120" w:type="dxa"/>
            </w:tcMar>
          </w:tcPr>
          <w:p>
            <w:pPr>
              <w:spacing w:after="0"/>
            </w:pPr>
            <w:r>
              <w:rPr>
                <w:rFonts w:ascii="Calibri" w:hAnsi="Calibri"/>
                <w:color w:val="262626"/>
                <w:sz w:val="19"/>
              </w:rPr>
              <w:t>Dr. N. Ch. Ravi (Dept of CSE - Data Science)</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Goods and Services Tax (GST) and Sales Tax Input Tax Credit (ITC) fraud have become a major concern in modern tax administration due to the increasing use of fake invoices, circular trading, shell companies, and fraudulent credit claims. These frauds cause substantial revenue leakage and weaken the integrity of the taxation system by enabling taxpayers to claim illegitimate credits without genuine business transactions. Traditional fraud detection methods, which rely heavily on manual auditing, rule-based checks, and post-fraud investigation, are often slow, reactive, and insufficient for uncovering large-scale hidden fraud networks. In real-world GST ecosystems, fraud patterns are not always directly visible in individual transactions; instead, they emerge through complex behavioural, temporal, and relational patterns spread across multiple invoices, taxpayers, and filing cycles. This creates a strong need for an intelligent, scalable, and explainable fraud detection framework capable of learning hidden patterns from large volumes of tax data.</w:t>
            </w:r>
          </w:p>
          <w:p>
            <w:pPr>
              <w:spacing w:before="80" w:after="120" w:line="276" w:lineRule="auto"/>
              <w:jc w:val="both"/>
            </w:pPr>
            <w:r>
              <w:rPr>
                <w:rFonts w:ascii="Calibri" w:hAnsi="Calibri"/>
                <w:color w:val="262626"/>
                <w:sz w:val="20"/>
              </w:rPr>
              <w:t>To address this challenge, this project proposes a JEPA-LLM Tuning Framework for Combating GST and Sales Tax Input Tax Credit Fraud Pattern Detection. The framework combines domain-specific GST fraud knowledge, self-supervised representation learning, fraud scoring, and natural-language explanation to identify suspicious ITC claims more effectively. The proposed system is inspired by three major directions: GST fraud and forensic accounting analysis, hybrid AI-based financial fraud detection, and explainable multi-layer fraud assessment. At the domain level, the framework targets major GST/ITC fraud behaviours such as fake invoice generation, abnormal input credit claims, shell-entity participation, circular trading loops, invoice without actual movement of goods or services, and coordinated fraud among linked taxpayers.</w:t>
            </w:r>
          </w:p>
          <w:p>
            <w:pPr>
              <w:spacing w:before="80" w:after="120" w:line="276" w:lineRule="auto"/>
              <w:jc w:val="both"/>
            </w:pPr>
            <w:r>
              <w:rPr>
                <w:rFonts w:ascii="Calibri" w:hAnsi="Calibri"/>
                <w:color w:val="262626"/>
                <w:sz w:val="20"/>
              </w:rPr>
              <w:t>A core contribution of this project is the integration of Joint Embedding Predictive Architecture (JEPA) as the primary pattern-learning component. In this framework, JEPA is used as a self-supervised representation learning module that learns hidden behavioural structures from largely unlabeled GST data. Instead of depending only on fully labelled fraud examples, JEPA models the normal relationships among invoices, taxpayers, filing history, and transaction flows, and then learns compact predictive embeddings that represent expected GST behaviour. When a taxpayer, invoice sequence, or transaction network deviates significantly from these learned behavioural patterns, the system flags it as potentially suspicious.</w:t>
            </w:r>
          </w:p>
          <w:p>
            <w:pPr>
              <w:spacing w:before="160" w:after="0"/>
            </w:pPr>
            <w:r>
              <w:rPr>
                <w:rFonts w:ascii="Calibri" w:hAnsi="Calibri"/>
                <w:b/>
                <w:color w:val="1B365D"/>
                <w:sz w:val="19"/>
              </w:rPr>
              <w:t xml:space="preserve">Keywords: </w:t>
            </w:r>
            <w:r>
              <w:rPr>
                <w:rFonts w:ascii="Calibri" w:hAnsi="Calibri"/>
                <w:i/>
                <w:color w:val="262626"/>
                <w:sz w:val="19"/>
              </w:rPr>
              <w:t>GST Fraud Detection, Input Tax Credit (ITC) Fraud, Joint Embedding Predictive Architecture (JEPA), Self-Supervised Learning, Large Language Models (LLMs), Circular Trading, Forensic Accounting.</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Multi-Layer Fraud Feature Architecture</w:t>
      </w:r>
    </w:p>
    <w:p>
      <w:pPr>
        <w:pStyle w:val="ListBullet"/>
        <w:spacing w:before="20" w:after="40" w:line="276" w:lineRule="auto"/>
      </w:pPr>
      <w:r>
        <w:rPr>
          <w:rFonts w:ascii="Calibri" w:hAnsi="Calibri"/>
          <w:b/>
          <w:color w:val="262626"/>
          <w:sz w:val="20"/>
        </w:rPr>
        <w:t>Invoice-Level Layer:</w:t>
      </w:r>
      <w:r>
        <w:rPr>
          <w:rFonts w:ascii="Calibri" w:hAnsi="Calibri"/>
          <w:color w:val="262626"/>
          <w:sz w:val="20"/>
        </w:rPr>
        <w:t xml:space="preserve"> Tax value, credit claimed, filing frequency, duplicate invoice hashes, and date discrepancies.</w:t>
      </w:r>
    </w:p>
    <w:p>
      <w:pPr>
        <w:pStyle w:val="ListBullet"/>
        <w:spacing w:before="20" w:after="40" w:line="276" w:lineRule="auto"/>
      </w:pPr>
      <w:r>
        <w:rPr>
          <w:rFonts w:ascii="Calibri" w:hAnsi="Calibri"/>
          <w:b/>
          <w:color w:val="262626"/>
          <w:sz w:val="20"/>
        </w:rPr>
        <w:t>Taxpayer-Behavior Layer:</w:t>
      </w:r>
      <w:r>
        <w:rPr>
          <w:rFonts w:ascii="Calibri" w:hAnsi="Calibri"/>
          <w:color w:val="262626"/>
          <w:sz w:val="20"/>
        </w:rPr>
        <w:t xml:space="preserve"> Abrupt spikes in ITC utilization, outward vs inward declaration mismatches, and irregular filing cadences.</w:t>
      </w:r>
    </w:p>
    <w:p>
      <w:pPr>
        <w:pStyle w:val="ListBullet"/>
        <w:spacing w:before="20" w:after="40" w:line="276" w:lineRule="auto"/>
      </w:pPr>
      <w:r>
        <w:rPr>
          <w:rFonts w:ascii="Calibri" w:hAnsi="Calibri"/>
          <w:b/>
          <w:color w:val="262626"/>
          <w:sz w:val="20"/>
        </w:rPr>
        <w:t>Network &amp; Graph Layer:</w:t>
      </w:r>
      <w:r>
        <w:rPr>
          <w:rFonts w:ascii="Calibri" w:hAnsi="Calibri"/>
          <w:color w:val="262626"/>
          <w:sz w:val="20"/>
        </w:rPr>
        <w:t xml:space="preserve"> Buyer-seller trading loops, shared IP/bank credentials, shell company clusters, and synthetic turnover.</w:t>
      </w:r>
    </w:p>
    <w:p>
      <w:pPr>
        <w:pStyle w:val="ListBullet"/>
        <w:spacing w:before="20" w:after="40" w:line="276" w:lineRule="auto"/>
      </w:pPr>
      <w:r>
        <w:rPr>
          <w:rFonts w:ascii="Calibri" w:hAnsi="Calibri"/>
          <w:b/>
          <w:color w:val="262626"/>
          <w:sz w:val="20"/>
        </w:rPr>
        <w:t>LLM Explanation Layer:</w:t>
      </w:r>
      <w:r>
        <w:rPr>
          <w:rFonts w:ascii="Calibri" w:hAnsi="Calibri"/>
          <w:color w:val="262626"/>
          <w:sz w:val="20"/>
        </w:rPr>
        <w:t xml:space="preserve"> Generates narrative forensic audit reports detailing exact evidentiary trails for tax enforcement officers.</w:t>
      </w:r>
    </w:p>
    <w:p>
      <w:pPr>
        <w:spacing w:before="160" w:after="40"/>
      </w:pPr>
      <w:r>
        <w:rPr>
          <w:rFonts w:ascii="Calibri" w:hAnsi="Calibri"/>
          <w:b/>
          <w:color w:val="2E75B6"/>
          <w:sz w:val="22"/>
        </w:rPr>
        <w:t>Significance</w:t>
      </w:r>
    </w:p>
    <w:p>
      <w:pPr>
        <w:spacing w:before="40" w:after="80" w:line="276" w:lineRule="auto"/>
        <w:jc w:val="both"/>
      </w:pPr>
      <w:r>
        <w:rPr>
          <w:rFonts w:ascii="Calibri" w:hAnsi="Calibri"/>
          <w:color w:val="262626"/>
          <w:sz w:val="20"/>
        </w:rPr>
        <w:t>Overcomes the extreme scarcity of labeled tax fraud datasets by learning self-supervised regularities with JEPA and delivering interpretable legal rationales via fine-tuned LLMs.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