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Legal Contract Complexity &amp; Predatory Clause Detector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Legal NLP, Graph Databases &amp; Contract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A6.doc (DOC Document (Legacy Word))</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Legal contracts, particularly those involving individuals, freelancers, and small businesses, often contain complex, ambiguous, or predatory clauses that are difficult for non-experts to identify without the aid of a qualified legal professional. This asymmetry of information frequently leads to unfavorable outcomes for the weaker party in a contractual relationship, ranging from unfair termination conditions to hidden financial liabilities and one-sided arbitration terms. This project addresses this problem by presenting an AI-powered system for automatically assessing contract complexity and flagging potentially predatory clauses, with a specific focus on the Indian legal jurisdiction, where such automated tools remain scarce despite a large and growing base of gig workers, startups, and small enterprises entering into digital agreements.</w:t>
            </w:r>
          </w:p>
          <w:p>
            <w:pPr>
              <w:spacing w:before="80" w:after="120" w:line="276" w:lineRule="auto"/>
              <w:jc w:val="both"/>
            </w:pPr>
            <w:r>
              <w:rPr>
                <w:rFonts w:ascii="Calibri" w:hAnsi="Calibri"/>
                <w:color w:val="262626"/>
                <w:sz w:val="20"/>
              </w:rPr>
              <w:t>The system is built around a Retrieval-Augmented Generation (RAG) architecture that combines the Claude API for natural language understanding and reasoning with pgvector, a PostgreSQL extension, for efficient semantic similarity search over clause embeddings. A Neo4j graph database is used to model relationships between clause types, legal concepts, and precedent patterns, allowing the system to reason about how individual clauses relate to one another within the broader structure of a contract. This graph-based layer enables more nuanced detection of predatory patterns that may not be evident when a clause is analyzed in isolation, such as combinations of clauses that together create disproportionate risk for one party.</w:t>
            </w:r>
          </w:p>
          <w:p>
            <w:pPr>
              <w:spacing w:before="80" w:after="120" w:line="276" w:lineRule="auto"/>
              <w:jc w:val="both"/>
            </w:pPr>
            <w:r>
              <w:rPr>
                <w:rFonts w:ascii="Calibri" w:hAnsi="Calibri"/>
                <w:color w:val="262626"/>
                <w:sz w:val="20"/>
              </w:rPr>
              <w:t>The backend is implemented using FastAPI, chosen for its asynchronous request handling and strong support for building performant, well-documented REST APIs suited to machine learning inference workloads. The frontend is built with Next.js, providing a responsive interface through which users can upload contracts, view clause-level annotations, and receive a plain-language summary of identified risks. For training and evaluation, the system uses the Contract Understanding Atticus Dataset (CUAD), a widely used benchmark of expert-annotated commercial legal contracts.</w:t>
            </w:r>
          </w:p>
          <w:p>
            <w:pPr>
              <w:spacing w:before="160" w:after="0"/>
            </w:pPr>
            <w:r>
              <w:rPr>
                <w:rFonts w:ascii="Calibri" w:hAnsi="Calibri"/>
                <w:b/>
                <w:color w:val="1B365D"/>
                <w:sz w:val="19"/>
              </w:rPr>
              <w:t xml:space="preserve">Keywords: </w:t>
            </w:r>
            <w:r>
              <w:rPr>
                <w:rFonts w:ascii="Calibri" w:hAnsi="Calibri"/>
                <w:i/>
                <w:color w:val="262626"/>
                <w:sz w:val="19"/>
              </w:rPr>
              <w:t>Legal Contract Analysis, Predatory Clause Detection, Contract Understanding Atticus Dataset (CUAD), Claude API, RAG, pgvector, Neo4j Graph Database, Indian Contract Law, FastAPI, Next.js.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Architecture &amp; Technologies</w:t>
      </w:r>
    </w:p>
    <w:p>
      <w:pPr>
        <w:pStyle w:val="ListBullet"/>
        <w:spacing w:before="20" w:after="40" w:line="276" w:lineRule="auto"/>
      </w:pPr>
      <w:r>
        <w:rPr>
          <w:rFonts w:ascii="Calibri" w:hAnsi="Calibri"/>
          <w:b/>
          <w:color w:val="262626"/>
          <w:sz w:val="20"/>
        </w:rPr>
        <w:t xml:space="preserve">LLM &amp; Semantic Reasoning: </w:t>
      </w:r>
      <w:r>
        <w:rPr>
          <w:rFonts w:ascii="Calibri" w:hAnsi="Calibri"/>
          <w:color w:val="262626"/>
          <w:sz w:val="20"/>
        </w:rPr>
        <w:t>Claude API (Anthropic) for legal clause interpretation</w:t>
      </w:r>
    </w:p>
    <w:p>
      <w:pPr>
        <w:pStyle w:val="ListBullet"/>
        <w:spacing w:before="20" w:after="40" w:line="276" w:lineRule="auto"/>
      </w:pPr>
      <w:r>
        <w:rPr>
          <w:rFonts w:ascii="Calibri" w:hAnsi="Calibri"/>
          <w:b/>
          <w:color w:val="262626"/>
          <w:sz w:val="20"/>
        </w:rPr>
        <w:t xml:space="preserve">Vector Database: </w:t>
      </w:r>
      <w:r>
        <w:rPr>
          <w:rFonts w:ascii="Calibri" w:hAnsi="Calibri"/>
          <w:color w:val="262626"/>
          <w:sz w:val="20"/>
        </w:rPr>
        <w:t>PostgreSQL with pgvector extension for clause embedding similarity</w:t>
      </w:r>
    </w:p>
    <w:p>
      <w:pPr>
        <w:pStyle w:val="ListBullet"/>
        <w:spacing w:before="20" w:after="40" w:line="276" w:lineRule="auto"/>
      </w:pPr>
      <w:r>
        <w:rPr>
          <w:rFonts w:ascii="Calibri" w:hAnsi="Calibri"/>
          <w:b/>
          <w:color w:val="262626"/>
          <w:sz w:val="20"/>
        </w:rPr>
        <w:t xml:space="preserve">Graph Database: </w:t>
      </w:r>
      <w:r>
        <w:rPr>
          <w:rFonts w:ascii="Calibri" w:hAnsi="Calibri"/>
          <w:color w:val="262626"/>
          <w:sz w:val="20"/>
        </w:rPr>
        <w:t>Neo4j for structural legal knowledge graphs and clause interconnection modeling</w:t>
      </w:r>
    </w:p>
    <w:p>
      <w:pPr>
        <w:pStyle w:val="ListBullet"/>
        <w:spacing w:before="20" w:after="40" w:line="276" w:lineRule="auto"/>
      </w:pPr>
      <w:r>
        <w:rPr>
          <w:rFonts w:ascii="Calibri" w:hAnsi="Calibri"/>
          <w:b/>
          <w:color w:val="262626"/>
          <w:sz w:val="20"/>
        </w:rPr>
        <w:t xml:space="preserve">Backend Framework: </w:t>
      </w:r>
      <w:r>
        <w:rPr>
          <w:rFonts w:ascii="Calibri" w:hAnsi="Calibri"/>
          <w:color w:val="262626"/>
          <w:sz w:val="20"/>
        </w:rPr>
        <w:t>FastAPI (Python Asynchronous REST API)</w:t>
      </w:r>
    </w:p>
    <w:p>
      <w:pPr>
        <w:pStyle w:val="ListBullet"/>
        <w:spacing w:before="20" w:after="40" w:line="276" w:lineRule="auto"/>
      </w:pPr>
      <w:r>
        <w:rPr>
          <w:rFonts w:ascii="Calibri" w:hAnsi="Calibri"/>
          <w:b/>
          <w:color w:val="262626"/>
          <w:sz w:val="20"/>
        </w:rPr>
        <w:t xml:space="preserve">Frontend Web App: </w:t>
      </w:r>
      <w:r>
        <w:rPr>
          <w:rFonts w:ascii="Calibri" w:hAnsi="Calibri"/>
          <w:color w:val="262626"/>
          <w:sz w:val="20"/>
        </w:rPr>
        <w:t>Next.js / React with interactive document annotation viewer</w:t>
      </w:r>
    </w:p>
    <w:p>
      <w:pPr>
        <w:pStyle w:val="ListBullet"/>
        <w:spacing w:before="20" w:after="40" w:line="276" w:lineRule="auto"/>
      </w:pPr>
      <w:r>
        <w:rPr>
          <w:rFonts w:ascii="Calibri" w:hAnsi="Calibri"/>
          <w:b/>
          <w:color w:val="262626"/>
          <w:sz w:val="20"/>
        </w:rPr>
        <w:t xml:space="preserve">Benchmark Dataset: </w:t>
      </w:r>
      <w:r>
        <w:rPr>
          <w:rFonts w:ascii="Calibri" w:hAnsi="Calibri"/>
          <w:color w:val="262626"/>
          <w:sz w:val="20"/>
        </w:rPr>
        <w:t>Contract Understanding Atticus Dataset (CUAD) + Indian Legal Corpus</w:t>
      </w:r>
    </w:p>
    <w:p>
      <w:pPr>
        <w:spacing w:before="160" w:after="40"/>
      </w:pPr>
      <w:r>
        <w:rPr>
          <w:rFonts w:ascii="Calibri" w:hAnsi="Calibri"/>
          <w:b/>
          <w:color w:val="2E75B6"/>
          <w:sz w:val="22"/>
        </w:rPr>
        <w:t>Key Innovation</w:t>
      </w:r>
    </w:p>
    <w:p>
      <w:pPr>
        <w:spacing w:before="40" w:after="80" w:line="276" w:lineRule="auto"/>
        <w:jc w:val="both"/>
      </w:pPr>
      <w:r>
        <w:rPr>
          <w:rFonts w:ascii="Calibri" w:hAnsi="Calibri"/>
          <w:color w:val="262626"/>
          <w:sz w:val="20"/>
        </w:rPr>
        <w:t>Decoupled evaluation separating clause-type identification from jurisdiction-aware predatory risk scoring tailored to Indian gig economy agreements.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