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center"/>
      </w:pPr>
      <w:r>
        <w:rPr>
          <w:rFonts w:ascii="Calibri" w:hAnsi="Calibri"/>
          <w:b/>
          <w:color w:val="2E75B6"/>
          <w:sz w:val="21"/>
        </w:rPr>
        <w:t>TKR COLLEGE OF ENGINEERING &amp; TECHNOLOGY (AUTONOMOUS)</w:t>
      </w:r>
    </w:p>
    <w:p>
      <w:pPr>
        <w:spacing w:after="240" w:before="0"/>
        <w:jc w:val="center"/>
      </w:pPr>
      <w:r>
        <w:rPr>
          <w:rFonts w:ascii="Calibri" w:hAnsi="Calibri"/>
          <w:b/>
          <w:color w:val="595959"/>
          <w:sz w:val="19"/>
        </w:rPr>
        <w:t>Department of Computer Science and Engineering (Data Science)  |  Batch No: A-08</w:t>
      </w:r>
    </w:p>
    <w:p>
      <w:pPr>
        <w:spacing w:before="80" w:after="40"/>
        <w:jc w:val="center"/>
      </w:pPr>
      <w:r>
        <w:rPr>
          <w:rFonts w:ascii="Calibri" w:hAnsi="Calibri"/>
          <w:b/>
          <w:color w:val="2E75B6"/>
          <w:sz w:val="20"/>
        </w:rPr>
        <w:t>PROJECT TITLE</w:t>
      </w:r>
    </w:p>
    <w:p>
      <w:pPr>
        <w:spacing w:before="40" w:after="280" w:line="276" w:lineRule="auto"/>
        <w:jc w:val="center"/>
      </w:pPr>
      <w:r>
        <w:rPr>
          <w:rFonts w:ascii="Calibri" w:hAnsi="Calibri"/>
          <w:b/>
          <w:color w:val="1B365D"/>
          <w:sz w:val="32"/>
        </w:rPr>
        <w:t>JEPA LLM Tuning Framework Model for Self Supervised Medical Image Segmentation and DNA Finger Printing Analysis</w:t>
      </w:r>
    </w:p>
    <w:tbl>
      <w:tblPr>
        <w:tblW w:type="auto" w:w="0"/>
        <w:jc w:val="center"/>
        <w:tblLayout w:type="fixed"/>
        <w:tblLook w:firstColumn="1" w:firstRow="1" w:lastColumn="0" w:lastRow="0" w:noHBand="0" w:noVBand="1" w:val="04A0"/>
        <w:tblBorders>
          <w:top w:val="single" w:sz="4" w:space="0" w:color="D0D7DE"/>
          <w:bottom w:val="single" w:sz="4" w:space="0" w:color="D0D7DE"/>
          <w:insideH w:val="single" w:sz="4" w:space="0" w:color="D0D7DE"/>
          <w:left w:val="none"/>
          <w:right w:val="none"/>
          <w:insideV w:val="none"/>
        </w:tblBorders>
      </w:tblPr>
      <w:tblGrid>
        <w:gridCol w:w="4680"/>
        <w:gridCol w:w="4680"/>
      </w:tblGrid>
      <w:tr>
        <w:tc>
          <w:tcPr>
            <w:tcW w:type="dxa" w:w="2592"/>
            <w:shd w:fill="F0F4F8"/>
            <w:tcMar>
              <w:top w:w="80" w:type="dxa"/>
              <w:bottom w:w="80" w:type="dxa"/>
              <w:left w:w="120" w:type="dxa"/>
              <w:right w:w="120" w:type="dxa"/>
            </w:tcMar>
          </w:tcPr>
          <w:p>
            <w:pPr>
              <w:spacing w:after="0"/>
            </w:pPr>
            <w:r>
              <w:rPr>
                <w:rFonts w:ascii="Calibri" w:hAnsi="Calibri"/>
                <w:b/>
                <w:color w:val="1B365D"/>
                <w:sz w:val="19"/>
              </w:rPr>
              <w:t>Batch Identifier</w:t>
            </w:r>
          </w:p>
        </w:tc>
        <w:tc>
          <w:tcPr>
            <w:tcW w:type="dxa" w:w="6768"/>
            <w:shd w:fill="FAFCFF"/>
            <w:tcMar>
              <w:top w:w="80" w:type="dxa"/>
              <w:bottom w:w="80" w:type="dxa"/>
              <w:left w:w="120" w:type="dxa"/>
              <w:right w:w="120" w:type="dxa"/>
            </w:tcMar>
          </w:tcPr>
          <w:p>
            <w:pPr>
              <w:spacing w:after="0"/>
            </w:pPr>
            <w:r>
              <w:rPr>
                <w:rFonts w:ascii="Calibri" w:hAnsi="Calibri"/>
                <w:color w:val="262626"/>
                <w:sz w:val="19"/>
              </w:rPr>
              <w:t>Batch No: A-08</w:t>
            </w:r>
          </w:p>
        </w:tc>
      </w:tr>
      <w:tr>
        <w:tc>
          <w:tcPr>
            <w:tcW w:type="dxa" w:w="2592"/>
            <w:shd w:fill="F0F4F8"/>
            <w:tcMar>
              <w:top w:w="80" w:type="dxa"/>
              <w:bottom w:w="80" w:type="dxa"/>
              <w:left w:w="120" w:type="dxa"/>
              <w:right w:w="120" w:type="dxa"/>
            </w:tcMar>
          </w:tcPr>
          <w:p>
            <w:pPr>
              <w:spacing w:after="0"/>
            </w:pPr>
            <w:r>
              <w:rPr>
                <w:rFonts w:ascii="Calibri" w:hAnsi="Calibri"/>
                <w:b/>
                <w:color w:val="1B365D"/>
                <w:sz w:val="19"/>
              </w:rPr>
              <w:t>Academic Branch</w:t>
            </w:r>
          </w:p>
        </w:tc>
        <w:tc>
          <w:tcPr>
            <w:tcW w:type="dxa" w:w="6768"/>
            <w:shd w:fill="FAFCFF"/>
            <w:tcMar>
              <w:top w:w="80" w:type="dxa"/>
              <w:bottom w:w="80" w:type="dxa"/>
              <w:left w:w="120" w:type="dxa"/>
              <w:right w:w="120" w:type="dxa"/>
            </w:tcMar>
          </w:tcPr>
          <w:p>
            <w:pPr>
              <w:spacing w:after="0"/>
            </w:pPr>
            <w:r>
              <w:rPr>
                <w:rFonts w:ascii="Calibri" w:hAnsi="Calibri"/>
                <w:color w:val="262626"/>
                <w:sz w:val="19"/>
              </w:rPr>
              <w:t>CSE (Data Science) - CSDS-A</w:t>
            </w:r>
          </w:p>
        </w:tc>
      </w:tr>
      <w:tr>
        <w:tc>
          <w:tcPr>
            <w:tcW w:type="dxa" w:w="2592"/>
            <w:shd w:fill="F0F4F8"/>
            <w:tcMar>
              <w:top w:w="80" w:type="dxa"/>
              <w:bottom w:w="80" w:type="dxa"/>
              <w:left w:w="120" w:type="dxa"/>
              <w:right w:w="120" w:type="dxa"/>
            </w:tcMar>
          </w:tcPr>
          <w:p>
            <w:pPr>
              <w:spacing w:after="0"/>
            </w:pPr>
            <w:r>
              <w:rPr>
                <w:rFonts w:ascii="Calibri" w:hAnsi="Calibri"/>
                <w:b/>
                <w:color w:val="1B365D"/>
                <w:sz w:val="19"/>
              </w:rPr>
              <w:t>Project Domain</w:t>
            </w:r>
          </w:p>
        </w:tc>
        <w:tc>
          <w:tcPr>
            <w:tcW w:type="dxa" w:w="6768"/>
            <w:shd w:fill="FAFCFF"/>
            <w:tcMar>
              <w:top w:w="80" w:type="dxa"/>
              <w:bottom w:w="80" w:type="dxa"/>
              <w:left w:w="120" w:type="dxa"/>
              <w:right w:w="120" w:type="dxa"/>
            </w:tcMar>
          </w:tcPr>
          <w:p>
            <w:pPr>
              <w:spacing w:after="0"/>
            </w:pPr>
            <w:r>
              <w:rPr>
                <w:rFonts w:ascii="Calibri" w:hAnsi="Calibri"/>
                <w:color w:val="262626"/>
                <w:sz w:val="19"/>
              </w:rPr>
              <w:t>Artificial Intelligence, Medical Imaging, Bioinformatics &amp; Forensic Science</w:t>
            </w:r>
          </w:p>
        </w:tc>
      </w:tr>
      <w:tr>
        <w:tc>
          <w:tcPr>
            <w:tcW w:type="dxa" w:w="2592"/>
            <w:shd w:fill="F0F4F8"/>
            <w:tcMar>
              <w:top w:w="80" w:type="dxa"/>
              <w:bottom w:w="80" w:type="dxa"/>
              <w:left w:w="120" w:type="dxa"/>
              <w:right w:w="120" w:type="dxa"/>
            </w:tcMar>
          </w:tcPr>
          <w:p>
            <w:pPr>
              <w:spacing w:after="0"/>
            </w:pPr>
            <w:r>
              <w:rPr>
                <w:rFonts w:ascii="Calibri" w:hAnsi="Calibri"/>
                <w:b/>
                <w:color w:val="1B365D"/>
                <w:sz w:val="19"/>
              </w:rPr>
              <w:t>Original Source File</w:t>
            </w:r>
          </w:p>
        </w:tc>
        <w:tc>
          <w:tcPr>
            <w:tcW w:type="dxa" w:w="6768"/>
            <w:shd w:fill="FAFCFF"/>
            <w:tcMar>
              <w:top w:w="80" w:type="dxa"/>
              <w:bottom w:w="80" w:type="dxa"/>
              <w:left w:w="120" w:type="dxa"/>
              <w:right w:w="120" w:type="dxa"/>
            </w:tcMar>
          </w:tcPr>
          <w:p>
            <w:pPr>
              <w:spacing w:after="0"/>
            </w:pPr>
            <w:r>
              <w:rPr>
                <w:rFonts w:ascii="Calibri" w:hAnsi="Calibri"/>
                <w:color w:val="262626"/>
                <w:sz w:val="19"/>
              </w:rPr>
              <w:t>A8.docx (DOCX Document)</w:t>
            </w:r>
          </w:p>
        </w:tc>
      </w:tr>
    </w:tbl>
    <w:p>
      <w:pPr>
        <w:spacing w:before="80" w:after="80"/>
      </w:pPr>
    </w:p>
    <w:p>
      <w:pPr>
        <w:spacing w:before="160" w:after="80"/>
      </w:pPr>
      <w:r>
        <w:rPr>
          <w:rFonts w:ascii="Calibri" w:hAnsi="Calibri"/>
          <w:b/>
          <w:color w:val="1B365D"/>
          <w:sz w:val="24"/>
        </w:rPr>
        <w:t>Project Team Members</w:t>
      </w:r>
    </w:p>
    <w:p>
      <w:r>
        <w:rPr>
          <w:rFonts w:ascii="Calibri" w:hAnsi="Calibri"/>
          <w:i/>
          <w:color w:val="595959"/>
          <w:sz w:val="19"/>
        </w:rPr>
        <w:t>Team member registration list pending batch allotment.</w:t>
      </w:r>
    </w:p>
    <w:p>
      <w:pPr>
        <w:spacing w:before="200" w:after="80"/>
      </w:pPr>
      <w:r>
        <w:rPr>
          <w:rFonts w:ascii="Calibri" w:hAnsi="Calibri"/>
          <w:b/>
          <w:color w:val="1B365D"/>
          <w:sz w:val="26"/>
        </w:rPr>
        <w:t>ABSTRACT</w:t>
      </w:r>
    </w:p>
    <w:tbl>
      <w:tblPr>
        <w:tblW w:type="auto" w:w="0"/>
        <w:jc w:val="center"/>
        <w:tblLayout w:type="fixed"/>
        <w:tblLook w:firstColumn="1" w:firstRow="1" w:lastColumn="0" w:lastRow="0" w:noHBand="0" w:noVBand="1" w:val="04A0"/>
      </w:tblPr>
      <w:tblGrid>
        <w:gridCol w:w="9360"/>
      </w:tblGrid>
      <w:tr>
        <w:tc>
          <w:tcPr>
            <w:tcW w:type="dxa" w:w="9360"/>
            <w:shd w:fill="F9FBFC"/>
            <w:tcBorders>
              <w:top w:val="none"/>
              <w:left w:val="single" w:sz="36" w:space="0" w:color="1B365D"/>
              <w:bottom w:val="none"/>
              <w:right w:val="none"/>
            </w:tcBorders>
            <w:tcMar>
              <w:top w:w="140" w:type="dxa"/>
              <w:bottom w:w="140" w:type="dxa"/>
              <w:left w:w="180" w:type="dxa"/>
              <w:right w:w="160" w:type="dxa"/>
            </w:tcMar>
          </w:tcPr>
          <w:p>
            <w:pPr>
              <w:spacing w:before="0" w:after="120" w:line="276" w:lineRule="auto"/>
              <w:jc w:val="both"/>
            </w:pPr>
            <w:r>
              <w:rPr>
                <w:rFonts w:ascii="Calibri" w:hAnsi="Calibri"/>
                <w:color w:val="262626"/>
                <w:sz w:val="20"/>
              </w:rPr>
              <w:t>The JEPA LLM Tuning Framework Model for Self-Supervised Medical Image Segmentation and DNA Fingerprinting Analysis is an advanced Artificial Intelligence (AI) framework developed to improve both healthcare and forensic applications. The proposed system combines Joint-Embedding Predictive Architecture (JEPA) with a fine-tuned Large Language Model (LLM) to analyze medical images and DNA data efficiently. Unlike traditional methods that require large amounts of labeled data, the framework uses self-supervised learning to extract meaningful features from unlabeled datasets, reducing manual effort while improving accuracy.</w:t>
            </w:r>
          </w:p>
          <w:p>
            <w:pPr>
              <w:spacing w:before="80" w:after="120" w:line="276" w:lineRule="auto"/>
              <w:jc w:val="both"/>
            </w:pPr>
            <w:r>
              <w:rPr>
                <w:rFonts w:ascii="Calibri" w:hAnsi="Calibri"/>
                <w:color w:val="262626"/>
                <w:sz w:val="20"/>
              </w:rPr>
              <w:t>The framework performs accurate segmentation of medical images such as MRI, CT, and X-ray scans to identify organs, tissues, and abnormal regions that support disease diagnosis. It also analyzes DNA fingerprint patterns to enable reliable identification for forensic investigations, paternity testing, and genetic research. The integrated LLM interprets the AI-generated results and produces clear, human-readable reports, helping medical professionals and forensic experts make faster and more informed decisions.</w:t>
            </w:r>
          </w:p>
          <w:p>
            <w:pPr>
              <w:spacing w:before="80" w:after="120" w:line="276" w:lineRule="auto"/>
              <w:jc w:val="both"/>
            </w:pPr>
            <w:r>
              <w:rPr>
                <w:rFonts w:ascii="Calibri" w:hAnsi="Calibri"/>
                <w:color w:val="262626"/>
                <w:sz w:val="20"/>
              </w:rPr>
              <w:t>The project is implemented using Python with PyTorch or TensorFlow for deep learning, JEPA for self-supervised representation learning, and a fine-tuned LLM for intelligent report generation. Additional technologies such as OpenCV, MONAI, BioPython, NumPy, Pandas, Scikit-learn, and Flask or Streamlit are used for image processing, DNA analysis, data handling, machine learning, and user interface development.</w:t>
            </w:r>
          </w:p>
          <w:p>
            <w:pPr>
              <w:spacing w:before="160" w:after="0"/>
            </w:pPr>
            <w:r>
              <w:rPr>
                <w:rFonts w:ascii="Calibri" w:hAnsi="Calibri"/>
                <w:b/>
                <w:color w:val="1B365D"/>
                <w:sz w:val="19"/>
              </w:rPr>
              <w:t xml:space="preserve">Keywords: </w:t>
            </w:r>
            <w:r>
              <w:rPr>
                <w:rFonts w:ascii="Calibri" w:hAnsi="Calibri"/>
                <w:i/>
                <w:color w:val="262626"/>
                <w:sz w:val="19"/>
              </w:rPr>
              <w:t>Medical Image Segmentation, DNA Fingerprinting, Joint Embedding Predictive Architecture (JEPA), Self-Supervised Learning, Large Language Models (LLMs), MONAI, BioPython, Forensic Genetics.</w:t>
            </w:r>
          </w:p>
        </w:tc>
      </w:tr>
    </w:tbl>
    <w:p>
      <w:pPr>
        <w:spacing w:before="120" w:after="120"/>
      </w:pPr>
    </w:p>
    <w:p>
      <w:pPr>
        <w:spacing w:before="240" w:after="120"/>
      </w:pPr>
      <w:r>
        <w:rPr>
          <w:rFonts w:ascii="Calibri" w:hAnsi="Calibri"/>
          <w:b/>
          <w:color w:val="1B365D"/>
          <w:sz w:val="26"/>
        </w:rPr>
        <w:t>MISCELLANEOUS &amp; ADDITIONAL PROJECT DETAILS</w:t>
      </w:r>
    </w:p>
    <w:p>
      <w:pPr>
        <w:spacing w:before="160" w:after="40"/>
      </w:pPr>
      <w:r>
        <w:rPr>
          <w:rFonts w:ascii="Calibri" w:hAnsi="Calibri"/>
          <w:b/>
          <w:color w:val="2E75B6"/>
          <w:sz w:val="22"/>
        </w:rPr>
        <w:t>Dual Diagnostic Modules</w:t>
      </w:r>
    </w:p>
    <w:p>
      <w:pPr>
        <w:pStyle w:val="ListBullet"/>
        <w:spacing w:before="20" w:after="40" w:line="276" w:lineRule="auto"/>
      </w:pPr>
      <w:r>
        <w:rPr>
          <w:rFonts w:ascii="Calibri" w:hAnsi="Calibri"/>
          <w:color w:val="262626"/>
          <w:sz w:val="20"/>
        </w:rPr>
        <w:t>Self-Supervised Medical Image Segmentation: Uses JEPA representations with MONAI/PyTorch to delineate lesions, tumors, and anatomical structures across MRI/CT volumes.</w:t>
      </w:r>
    </w:p>
    <w:p>
      <w:pPr>
        <w:pStyle w:val="ListBullet"/>
        <w:spacing w:before="20" w:after="40" w:line="276" w:lineRule="auto"/>
      </w:pPr>
      <w:r>
        <w:rPr>
          <w:rFonts w:ascii="Calibri" w:hAnsi="Calibri"/>
          <w:color w:val="262626"/>
          <w:sz w:val="20"/>
        </w:rPr>
        <w:t>DNA Fingerprint STR/Electropherogram Analysis: Analyzes short tandem repeat (STR) genomic bands using BioPython for forensic matching and kinship confirmation.</w:t>
      </w:r>
    </w:p>
    <w:p>
      <w:pPr>
        <w:pStyle w:val="ListBullet"/>
        <w:spacing w:before="20" w:after="40" w:line="276" w:lineRule="auto"/>
      </w:pPr>
      <w:r>
        <w:rPr>
          <w:rFonts w:ascii="Calibri" w:hAnsi="Calibri"/>
          <w:b/>
          <w:color w:val="262626"/>
          <w:sz w:val="20"/>
        </w:rPr>
        <w:t>Automated Clinical Report Generator:</w:t>
      </w:r>
      <w:r>
        <w:rPr>
          <w:rFonts w:ascii="Calibri" w:hAnsi="Calibri"/>
          <w:color w:val="262626"/>
          <w:sz w:val="20"/>
        </w:rPr>
        <w:t xml:space="preserve"> Fine-tuned LLM synthesizes structured medical and forensic diagnostic documentation.</w:t>
      </w:r>
    </w:p>
    <w:p>
      <w:pPr>
        <w:spacing w:before="160" w:after="40"/>
      </w:pPr>
      <w:r>
        <w:rPr>
          <w:rFonts w:ascii="Calibri" w:hAnsi="Calibri"/>
          <w:b/>
          <w:color w:val="2E75B6"/>
          <w:sz w:val="22"/>
        </w:rPr>
        <w:t>Technology Stack</w:t>
      </w:r>
    </w:p>
    <w:p>
      <w:pPr>
        <w:spacing w:before="40" w:after="80" w:line="276" w:lineRule="auto"/>
        <w:jc w:val="both"/>
      </w:pPr>
      <w:r>
        <w:rPr>
          <w:rFonts w:ascii="Calibri" w:hAnsi="Calibri"/>
          <w:color w:val="262626"/>
          <w:sz w:val="20"/>
        </w:rPr>
        <w:t>Python, PyTorch, MONAI (Medical Open Network for AI), BioPython, OpenCV, Scikit-Learn, Streamlit/Flask Web Interface.</w:t>
      </w:r>
    </w:p>
    <w:sectPr w:rsidR="00FC693F" w:rsidRPr="0006063C" w:rsidSect="00034616">
      <w:headerReference w:type="default" r:id="rId9"/>
      <w:footerReference w:type="default" r:id="rId10"/>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7"/>
      </w:rPr>
      <w:t>Major Project Synopsis &amp; Abstract Document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95959"/>
        <w:sz w:val="17"/>
      </w:rPr>
      <w:t>TKR College of Engineering &amp; Technology | CSE (Data Science) | CSDS-A Projects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