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Master Catalog &amp; Executive Index</w:t>
      </w:r>
    </w:p>
    <w:p>
      <w:pPr>
        <w:spacing w:before="80" w:after="280"/>
        <w:jc w:val="center"/>
      </w:pPr>
      <w:r>
        <w:rPr>
          <w:rFonts w:ascii="Calibri" w:hAnsi="Calibri"/>
          <w:b/>
          <w:color w:val="1B365D"/>
          <w:sz w:val="30"/>
        </w:rPr>
        <w:t>DEPARTMENT OF COMPUTER SCIENCE &amp; ENGINEERING (DATA SCIENCE)</w:t>
        <w:br/>
        <w:t>CLASS: CSDS-B | MAJOR PROJECT ABSTRACTS CATALOG</w:t>
      </w:r>
    </w:p>
    <w:p>
      <w:pPr>
        <w:spacing w:after="200" w:line="276" w:lineRule="auto"/>
        <w:jc w:val="both"/>
      </w:pPr>
      <w:r>
        <w:rPr>
          <w:rFonts w:ascii="Calibri" w:hAnsi="Calibri"/>
          <w:sz w:val="20"/>
        </w:rPr>
        <w:t>This master catalog consolidates all 12 Major Project Synopses and Structured Abstracts for the Department of Computer Science and Engineering (Data Science) - CSDS-B. Each project has been systematically parsed, extracted, and structured from its submission format into standardized executive documents featuring Project Title, Domain, Team Members, Abstract, Keywords, and Comprehensive Miscellaneous Technical Specifications.</w:t>
      </w:r>
    </w:p>
    <w:p>
      <w:pPr>
        <w:spacing w:before="200" w:after="80"/>
      </w:pPr>
      <w:r>
        <w:rPr>
          <w:rFonts w:ascii="Calibri" w:hAnsi="Calibri"/>
          <w:b/>
          <w:color w:val="1B365D"/>
          <w:sz w:val="24"/>
        </w:rPr>
        <w:t>Executive Project Directory (CSDS-B Batches)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2340"/>
        <w:gridCol w:w="2340"/>
        <w:gridCol w:w="2340"/>
        <w:gridCol w:w="2340"/>
      </w:tblGrid>
      <w:tr>
        <w:tc>
          <w:tcPr>
            <w:tcW w:type="dxa" w:w="1296"/>
            <w:shd w:fill="1B365D"/>
            <w:tcMar>
              <w:top w:w="100" w:type="dxa"/>
              <w:bottom w:w="100" w:type="dxa"/>
              <w:left w:w="100" w:type="dxa"/>
              <w:right w:w="100" w:type="dxa"/>
            </w:tcMar>
          </w:tcPr>
          <w:p>
            <w:pPr>
              <w:spacing w:after="0"/>
              <w:jc w:val="center"/>
            </w:pPr>
            <w:r>
              <w:rPr>
                <w:rFonts w:ascii="Calibri" w:hAnsi="Calibri"/>
                <w:b/>
                <w:color w:val="FFFFFF"/>
                <w:sz w:val="18"/>
              </w:rPr>
              <w:t>Batch</w:t>
            </w:r>
          </w:p>
        </w:tc>
        <w:tc>
          <w:tcPr>
            <w:tcW w:type="dxa" w:w="3888"/>
            <w:shd w:fill="1B365D"/>
            <w:tcMar>
              <w:top w:w="100" w:type="dxa"/>
              <w:bottom w:w="100" w:type="dxa"/>
              <w:left w:w="100" w:type="dxa"/>
              <w:right w:w="100" w:type="dxa"/>
            </w:tcMar>
          </w:tcPr>
          <w:p>
            <w:pPr>
              <w:spacing w:after="0"/>
            </w:pPr>
            <w:r>
              <w:rPr>
                <w:rFonts w:ascii="Calibri" w:hAnsi="Calibri"/>
                <w:b/>
                <w:color w:val="FFFFFF"/>
                <w:sz w:val="18"/>
              </w:rPr>
              <w:t>Project Title</w:t>
            </w:r>
          </w:p>
        </w:tc>
        <w:tc>
          <w:tcPr>
            <w:tcW w:type="dxa" w:w="2448"/>
            <w:shd w:fill="1B365D"/>
            <w:tcMar>
              <w:top w:w="100" w:type="dxa"/>
              <w:bottom w:w="100" w:type="dxa"/>
              <w:left w:w="100" w:type="dxa"/>
              <w:right w:w="100" w:type="dxa"/>
            </w:tcMar>
          </w:tcPr>
          <w:p>
            <w:pPr>
              <w:spacing w:after="0"/>
            </w:pPr>
            <w:r>
              <w:rPr>
                <w:rFonts w:ascii="Calibri" w:hAnsi="Calibri"/>
                <w:b/>
                <w:color w:val="FFFFFF"/>
                <w:sz w:val="18"/>
              </w:rPr>
              <w:t>Domain</w:t>
            </w:r>
          </w:p>
        </w:tc>
        <w:tc>
          <w:tcPr>
            <w:tcW w:type="dxa" w:w="1728"/>
            <w:shd w:fill="1B365D"/>
            <w:tcMar>
              <w:top w:w="100" w:type="dxa"/>
              <w:bottom w:w="100" w:type="dxa"/>
              <w:left w:w="100" w:type="dxa"/>
              <w:right w:w="100" w:type="dxa"/>
            </w:tcMar>
          </w:tcPr>
          <w:p>
            <w:pPr>
              <w:spacing w:after="0"/>
            </w:pPr>
            <w:r>
              <w:rPr>
                <w:rFonts w:ascii="Calibri" w:hAnsi="Calibri"/>
                <w:b/>
                <w:color w:val="FFFFFF"/>
                <w:sz w:val="18"/>
              </w:rPr>
              <w:t>Source File</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B-01</w:t>
            </w:r>
          </w:p>
        </w:tc>
        <w:tc>
          <w:tcPr>
            <w:tcW w:type="dxa" w:w="3888"/>
            <w:shd w:fill="FFFFFF"/>
            <w:tcMar>
              <w:top w:w="60" w:type="dxa"/>
              <w:bottom w:w="60" w:type="dxa"/>
              <w:left w:w="80" w:type="dxa"/>
              <w:right w:w="80" w:type="dxa"/>
            </w:tcMar>
          </w:tcPr>
          <w:p>
            <w:pPr>
              <w:spacing w:after="0"/>
            </w:pPr>
            <w:r>
              <w:rPr>
                <w:rFonts w:ascii="Calibri" w:hAnsi="Calibri"/>
                <w:b/>
                <w:color w:val="1B365D"/>
                <w:sz w:val="17"/>
              </w:rPr>
              <w:t>AI POWERED GOVERNMENT DECISION SUPPORT SYSTEM FOR SMART GOVERNANCE</w:t>
            </w:r>
          </w:p>
        </w:tc>
        <w:tc>
          <w:tcPr>
            <w:tcW w:type="dxa" w:w="2448"/>
            <w:shd w:fill="FFFFFF"/>
            <w:tcMar>
              <w:top w:w="60" w:type="dxa"/>
              <w:bottom w:w="60" w:type="dxa"/>
              <w:left w:w="80" w:type="dxa"/>
              <w:right w:w="80" w:type="dxa"/>
            </w:tcMar>
          </w:tcPr>
          <w:p>
            <w:pPr>
              <w:spacing w:after="0"/>
            </w:pPr>
            <w:r>
              <w:rPr>
                <w:rFonts w:ascii="Calibri" w:hAnsi="Calibri"/>
                <w:sz w:val="17"/>
              </w:rPr>
              <w:t>Artificial Intelligence, Natural Language Processing &amp; E-Governance</w:t>
            </w:r>
          </w:p>
        </w:tc>
        <w:tc>
          <w:tcPr>
            <w:tcW w:type="dxa" w:w="1728"/>
            <w:shd w:fill="FFFFFF"/>
            <w:tcMar>
              <w:top w:w="60" w:type="dxa"/>
              <w:bottom w:w="60" w:type="dxa"/>
              <w:left w:w="80" w:type="dxa"/>
              <w:right w:w="80" w:type="dxa"/>
            </w:tcMar>
          </w:tcPr>
          <w:p>
            <w:pPr>
              <w:spacing w:after="0"/>
            </w:pPr>
            <w:r>
              <w:rPr>
                <w:rFonts w:ascii="Calibri" w:hAnsi="Calibri"/>
                <w:color w:val="595959"/>
                <w:sz w:val="16"/>
              </w:rPr>
              <w:t>B1.docx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B-02</w:t>
            </w:r>
          </w:p>
        </w:tc>
        <w:tc>
          <w:tcPr>
            <w:tcW w:type="dxa" w:w="3888"/>
            <w:shd w:fill="F0F4F8"/>
            <w:tcMar>
              <w:top w:w="60" w:type="dxa"/>
              <w:bottom w:w="60" w:type="dxa"/>
              <w:left w:w="80" w:type="dxa"/>
              <w:right w:w="80" w:type="dxa"/>
            </w:tcMar>
          </w:tcPr>
          <w:p>
            <w:pPr>
              <w:spacing w:after="0"/>
            </w:pPr>
            <w:r>
              <w:rPr>
                <w:rFonts w:ascii="Calibri" w:hAnsi="Calibri"/>
                <w:b/>
                <w:color w:val="1B365D"/>
                <w:sz w:val="17"/>
              </w:rPr>
              <w:t>IoT-Driven Mobile Network Detection and Automatic Complaint System</w:t>
            </w:r>
          </w:p>
        </w:tc>
        <w:tc>
          <w:tcPr>
            <w:tcW w:type="dxa" w:w="2448"/>
            <w:shd w:fill="F0F4F8"/>
            <w:tcMar>
              <w:top w:w="60" w:type="dxa"/>
              <w:bottom w:w="60" w:type="dxa"/>
              <w:left w:w="80" w:type="dxa"/>
              <w:right w:w="80" w:type="dxa"/>
            </w:tcMar>
          </w:tcPr>
          <w:p>
            <w:pPr>
              <w:spacing w:after="0"/>
            </w:pPr>
            <w:r>
              <w:rPr>
                <w:rFonts w:ascii="Calibri" w:hAnsi="Calibri"/>
                <w:sz w:val="17"/>
              </w:rPr>
              <w:t>Internet of Things (IoT), Machine Learning &amp; Telecommunications Informatics</w:t>
            </w:r>
          </w:p>
        </w:tc>
        <w:tc>
          <w:tcPr>
            <w:tcW w:type="dxa" w:w="1728"/>
            <w:shd w:fill="F0F4F8"/>
            <w:tcMar>
              <w:top w:w="60" w:type="dxa"/>
              <w:bottom w:w="60" w:type="dxa"/>
              <w:left w:w="80" w:type="dxa"/>
              <w:right w:w="80" w:type="dxa"/>
            </w:tcMar>
          </w:tcPr>
          <w:p>
            <w:pPr>
              <w:spacing w:after="0"/>
            </w:pPr>
            <w:r>
              <w:rPr>
                <w:rFonts w:ascii="Calibri" w:hAnsi="Calibri"/>
                <w:color w:val="595959"/>
                <w:sz w:val="16"/>
              </w:rPr>
              <w:t>B2.docx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B-04</w:t>
            </w:r>
          </w:p>
        </w:tc>
        <w:tc>
          <w:tcPr>
            <w:tcW w:type="dxa" w:w="3888"/>
            <w:shd w:fill="FFFFFF"/>
            <w:tcMar>
              <w:top w:w="60" w:type="dxa"/>
              <w:bottom w:w="60" w:type="dxa"/>
              <w:left w:w="80" w:type="dxa"/>
              <w:right w:w="80" w:type="dxa"/>
            </w:tcMar>
          </w:tcPr>
          <w:p>
            <w:pPr>
              <w:spacing w:after="0"/>
            </w:pPr>
            <w:r>
              <w:rPr>
                <w:rFonts w:ascii="Calibri" w:hAnsi="Calibri"/>
                <w:b/>
                <w:color w:val="1B365D"/>
                <w:sz w:val="17"/>
              </w:rPr>
              <w:t>UPI Guardian: AI-Based Adaptive Fraud Prevention Framework</w:t>
            </w:r>
          </w:p>
        </w:tc>
        <w:tc>
          <w:tcPr>
            <w:tcW w:type="dxa" w:w="2448"/>
            <w:shd w:fill="FFFFFF"/>
            <w:tcMar>
              <w:top w:w="60" w:type="dxa"/>
              <w:bottom w:w="60" w:type="dxa"/>
              <w:left w:w="80" w:type="dxa"/>
              <w:right w:w="80" w:type="dxa"/>
            </w:tcMar>
          </w:tcPr>
          <w:p>
            <w:pPr>
              <w:spacing w:after="0"/>
            </w:pPr>
            <w:r>
              <w:rPr>
                <w:rFonts w:ascii="Calibri" w:hAnsi="Calibri"/>
                <w:sz w:val="17"/>
              </w:rPr>
              <w:t>FinTech Security, Machine Learning &amp; Payment Fraud Prevention</w:t>
            </w:r>
          </w:p>
        </w:tc>
        <w:tc>
          <w:tcPr>
            <w:tcW w:type="dxa" w:w="1728"/>
            <w:shd w:fill="FFFFFF"/>
            <w:tcMar>
              <w:top w:w="60" w:type="dxa"/>
              <w:bottom w:w="60" w:type="dxa"/>
              <w:left w:w="80" w:type="dxa"/>
              <w:right w:w="80" w:type="dxa"/>
            </w:tcMar>
          </w:tcPr>
          <w:p>
            <w:pPr>
              <w:spacing w:after="0"/>
            </w:pPr>
            <w:r>
              <w:rPr>
                <w:rFonts w:ascii="Calibri" w:hAnsi="Calibri"/>
                <w:color w:val="595959"/>
                <w:sz w:val="16"/>
              </w:rPr>
              <w:t>B4.docx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B-05</w:t>
            </w:r>
          </w:p>
        </w:tc>
        <w:tc>
          <w:tcPr>
            <w:tcW w:type="dxa" w:w="3888"/>
            <w:shd w:fill="F0F4F8"/>
            <w:tcMar>
              <w:top w:w="60" w:type="dxa"/>
              <w:bottom w:w="60" w:type="dxa"/>
              <w:left w:w="80" w:type="dxa"/>
              <w:right w:w="80" w:type="dxa"/>
            </w:tcMar>
          </w:tcPr>
          <w:p>
            <w:pPr>
              <w:spacing w:after="0"/>
            </w:pPr>
            <w:r>
              <w:rPr>
                <w:rFonts w:ascii="Calibri" w:hAnsi="Calibri"/>
                <w:b/>
                <w:color w:val="1B365D"/>
                <w:sz w:val="17"/>
              </w:rPr>
              <w:t>AI-Powered Real-Time Indian Sign Language Recognition and Bidirectional Communication System with Live Subtitle Generation</w:t>
            </w:r>
          </w:p>
        </w:tc>
        <w:tc>
          <w:tcPr>
            <w:tcW w:type="dxa" w:w="2448"/>
            <w:shd w:fill="F0F4F8"/>
            <w:tcMar>
              <w:top w:w="60" w:type="dxa"/>
              <w:bottom w:w="60" w:type="dxa"/>
              <w:left w:w="80" w:type="dxa"/>
              <w:right w:w="80" w:type="dxa"/>
            </w:tcMar>
          </w:tcPr>
          <w:p>
            <w:pPr>
              <w:spacing w:after="0"/>
            </w:pPr>
            <w:r>
              <w:rPr>
                <w:rFonts w:ascii="Calibri" w:hAnsi="Calibri"/>
                <w:sz w:val="17"/>
              </w:rPr>
              <w:t>Computer Vision, Deep Learning &amp; Assistive Human-Computer Interaction</w:t>
            </w:r>
          </w:p>
        </w:tc>
        <w:tc>
          <w:tcPr>
            <w:tcW w:type="dxa" w:w="1728"/>
            <w:shd w:fill="F0F4F8"/>
            <w:tcMar>
              <w:top w:w="60" w:type="dxa"/>
              <w:bottom w:w="60" w:type="dxa"/>
              <w:left w:w="80" w:type="dxa"/>
              <w:right w:w="80" w:type="dxa"/>
            </w:tcMar>
          </w:tcPr>
          <w:p>
            <w:pPr>
              <w:spacing w:after="0"/>
            </w:pPr>
            <w:r>
              <w:rPr>
                <w:rFonts w:ascii="Calibri" w:hAnsi="Calibri"/>
                <w:color w:val="595959"/>
                <w:sz w:val="16"/>
              </w:rPr>
              <w:t>B5.docx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B-06</w:t>
            </w:r>
          </w:p>
        </w:tc>
        <w:tc>
          <w:tcPr>
            <w:tcW w:type="dxa" w:w="3888"/>
            <w:shd w:fill="FFFFFF"/>
            <w:tcMar>
              <w:top w:w="60" w:type="dxa"/>
              <w:bottom w:w="60" w:type="dxa"/>
              <w:left w:w="80" w:type="dxa"/>
              <w:right w:w="80" w:type="dxa"/>
            </w:tcMar>
          </w:tcPr>
          <w:p>
            <w:pPr>
              <w:spacing w:after="0"/>
            </w:pPr>
            <w:r>
              <w:rPr>
                <w:rFonts w:ascii="Calibri" w:hAnsi="Calibri"/>
                <w:b/>
                <w:color w:val="1B365D"/>
                <w:sz w:val="17"/>
              </w:rPr>
              <w:t>AI-ENHANCED PATIENT-CENTRIC UNIFIED HEALTH DATA INTEROPERABILITY SYSTEM</w:t>
            </w:r>
          </w:p>
        </w:tc>
        <w:tc>
          <w:tcPr>
            <w:tcW w:type="dxa" w:w="2448"/>
            <w:shd w:fill="FFFFFF"/>
            <w:tcMar>
              <w:top w:w="60" w:type="dxa"/>
              <w:bottom w:w="60" w:type="dxa"/>
              <w:left w:w="80" w:type="dxa"/>
              <w:right w:w="80" w:type="dxa"/>
            </w:tcMar>
          </w:tcPr>
          <w:p>
            <w:pPr>
              <w:spacing w:after="0"/>
            </w:pPr>
            <w:r>
              <w:rPr>
                <w:rFonts w:ascii="Calibri" w:hAnsi="Calibri"/>
                <w:sz w:val="17"/>
              </w:rPr>
              <w:t>Healthcare Informatics, Health Data Interoperability (HL7 FHIR) &amp; AI Clinical Support</w:t>
            </w:r>
          </w:p>
        </w:tc>
        <w:tc>
          <w:tcPr>
            <w:tcW w:type="dxa" w:w="1728"/>
            <w:shd w:fill="FFFFFF"/>
            <w:tcMar>
              <w:top w:w="60" w:type="dxa"/>
              <w:bottom w:w="60" w:type="dxa"/>
              <w:left w:w="80" w:type="dxa"/>
              <w:right w:w="80" w:type="dxa"/>
            </w:tcMar>
          </w:tcPr>
          <w:p>
            <w:pPr>
              <w:spacing w:after="0"/>
            </w:pPr>
            <w:r>
              <w:rPr>
                <w:rFonts w:ascii="Calibri" w:hAnsi="Calibri"/>
                <w:color w:val="595959"/>
                <w:sz w:val="16"/>
              </w:rPr>
              <w:t>B6.docx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B-08</w:t>
            </w:r>
          </w:p>
        </w:tc>
        <w:tc>
          <w:tcPr>
            <w:tcW w:type="dxa" w:w="3888"/>
            <w:shd w:fill="F0F4F8"/>
            <w:tcMar>
              <w:top w:w="60" w:type="dxa"/>
              <w:bottom w:w="60" w:type="dxa"/>
              <w:left w:w="80" w:type="dxa"/>
              <w:right w:w="80" w:type="dxa"/>
            </w:tcMar>
          </w:tcPr>
          <w:p>
            <w:pPr>
              <w:spacing w:after="0"/>
            </w:pPr>
            <w:r>
              <w:rPr>
                <w:rFonts w:ascii="Calibri" w:hAnsi="Calibri"/>
                <w:b/>
                <w:color w:val="1B365D"/>
                <w:sz w:val="17"/>
              </w:rPr>
              <w:t>Enhanced AI-Based Human Activity Recognition with Fall Detection and Emergency Alert System</w:t>
            </w:r>
          </w:p>
        </w:tc>
        <w:tc>
          <w:tcPr>
            <w:tcW w:type="dxa" w:w="2448"/>
            <w:shd w:fill="F0F4F8"/>
            <w:tcMar>
              <w:top w:w="60" w:type="dxa"/>
              <w:bottom w:w="60" w:type="dxa"/>
              <w:left w:w="80" w:type="dxa"/>
              <w:right w:w="80" w:type="dxa"/>
            </w:tcMar>
          </w:tcPr>
          <w:p>
            <w:pPr>
              <w:spacing w:after="0"/>
            </w:pPr>
            <w:r>
              <w:rPr>
                <w:rFonts w:ascii="Calibri" w:hAnsi="Calibri"/>
                <w:sz w:val="17"/>
              </w:rPr>
              <w:t>Computer Vision, Deep Learning, Ambient Assisted Living &amp; Healthcare Monitoring</w:t>
            </w:r>
          </w:p>
        </w:tc>
        <w:tc>
          <w:tcPr>
            <w:tcW w:type="dxa" w:w="1728"/>
            <w:shd w:fill="F0F4F8"/>
            <w:tcMar>
              <w:top w:w="60" w:type="dxa"/>
              <w:bottom w:w="60" w:type="dxa"/>
              <w:left w:w="80" w:type="dxa"/>
              <w:right w:w="80" w:type="dxa"/>
            </w:tcMar>
          </w:tcPr>
          <w:p>
            <w:pPr>
              <w:spacing w:after="0"/>
            </w:pPr>
            <w:r>
              <w:rPr>
                <w:rFonts w:ascii="Calibri" w:hAnsi="Calibri"/>
                <w:color w:val="595959"/>
                <w:sz w:val="16"/>
              </w:rPr>
              <w:t>B8.docx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B-09</w:t>
            </w:r>
          </w:p>
        </w:tc>
        <w:tc>
          <w:tcPr>
            <w:tcW w:type="dxa" w:w="3888"/>
            <w:shd w:fill="FFFFFF"/>
            <w:tcMar>
              <w:top w:w="60" w:type="dxa"/>
              <w:bottom w:w="60" w:type="dxa"/>
              <w:left w:w="80" w:type="dxa"/>
              <w:right w:w="80" w:type="dxa"/>
            </w:tcMar>
          </w:tcPr>
          <w:p>
            <w:pPr>
              <w:spacing w:after="0"/>
            </w:pPr>
            <w:r>
              <w:rPr>
                <w:rFonts w:ascii="Calibri" w:hAnsi="Calibri"/>
                <w:b/>
                <w:color w:val="1B365D"/>
                <w:sz w:val="17"/>
              </w:rPr>
              <w:t>TalentTrack: AI-Powered Placement Readiness Platform with Integrated Coding Evaluation</w:t>
            </w:r>
          </w:p>
        </w:tc>
        <w:tc>
          <w:tcPr>
            <w:tcW w:type="dxa" w:w="2448"/>
            <w:shd w:fill="FFFFFF"/>
            <w:tcMar>
              <w:top w:w="60" w:type="dxa"/>
              <w:bottom w:w="60" w:type="dxa"/>
              <w:left w:w="80" w:type="dxa"/>
              <w:right w:w="80" w:type="dxa"/>
            </w:tcMar>
          </w:tcPr>
          <w:p>
            <w:pPr>
              <w:spacing w:after="0"/>
            </w:pPr>
            <w:r>
              <w:rPr>
                <w:rFonts w:ascii="Calibri" w:hAnsi="Calibri"/>
                <w:sz w:val="17"/>
              </w:rPr>
              <w:t>EdTech, Artificial Intelligence &amp; Full-Stack Web Engineering (MERN)</w:t>
            </w:r>
          </w:p>
        </w:tc>
        <w:tc>
          <w:tcPr>
            <w:tcW w:type="dxa" w:w="1728"/>
            <w:shd w:fill="FFFFFF"/>
            <w:tcMar>
              <w:top w:w="60" w:type="dxa"/>
              <w:bottom w:w="60" w:type="dxa"/>
              <w:left w:w="80" w:type="dxa"/>
              <w:right w:w="80" w:type="dxa"/>
            </w:tcMar>
          </w:tcPr>
          <w:p>
            <w:pPr>
              <w:spacing w:after="0"/>
            </w:pPr>
            <w:r>
              <w:rPr>
                <w:rFonts w:ascii="Calibri" w:hAnsi="Calibri"/>
                <w:color w:val="595959"/>
                <w:sz w:val="16"/>
              </w:rPr>
              <w:t>B9.docx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B-10</w:t>
            </w:r>
          </w:p>
        </w:tc>
        <w:tc>
          <w:tcPr>
            <w:tcW w:type="dxa" w:w="3888"/>
            <w:shd w:fill="F0F4F8"/>
            <w:tcMar>
              <w:top w:w="60" w:type="dxa"/>
              <w:bottom w:w="60" w:type="dxa"/>
              <w:left w:w="80" w:type="dxa"/>
              <w:right w:w="80" w:type="dxa"/>
            </w:tcMar>
          </w:tcPr>
          <w:p>
            <w:pPr>
              <w:spacing w:after="0"/>
            </w:pPr>
            <w:r>
              <w:rPr>
                <w:rFonts w:ascii="Calibri" w:hAnsi="Calibri"/>
                <w:b/>
                <w:color w:val="1B365D"/>
                <w:sz w:val="17"/>
              </w:rPr>
              <w:t>Hybrid Chaotic Lightweight Image Encryption for Secure UAV Transmission: Wavelet and XOR-Diffusion Approach</w:t>
            </w:r>
          </w:p>
        </w:tc>
        <w:tc>
          <w:tcPr>
            <w:tcW w:type="dxa" w:w="2448"/>
            <w:shd w:fill="F0F4F8"/>
            <w:tcMar>
              <w:top w:w="60" w:type="dxa"/>
              <w:bottom w:w="60" w:type="dxa"/>
              <w:left w:w="80" w:type="dxa"/>
              <w:right w:w="80" w:type="dxa"/>
            </w:tcMar>
          </w:tcPr>
          <w:p>
            <w:pPr>
              <w:spacing w:after="0"/>
            </w:pPr>
            <w:r>
              <w:rPr>
                <w:rFonts w:ascii="Calibri" w:hAnsi="Calibri"/>
                <w:sz w:val="17"/>
              </w:rPr>
              <w:t>Cybersecurity, Image Cryptography &amp; UAV Wireless Communications</w:t>
            </w:r>
          </w:p>
        </w:tc>
        <w:tc>
          <w:tcPr>
            <w:tcW w:type="dxa" w:w="1728"/>
            <w:shd w:fill="F0F4F8"/>
            <w:tcMar>
              <w:top w:w="60" w:type="dxa"/>
              <w:bottom w:w="60" w:type="dxa"/>
              <w:left w:w="80" w:type="dxa"/>
              <w:right w:w="80" w:type="dxa"/>
            </w:tcMar>
          </w:tcPr>
          <w:p>
            <w:pPr>
              <w:spacing w:after="0"/>
            </w:pPr>
            <w:r>
              <w:rPr>
                <w:rFonts w:ascii="Calibri" w:hAnsi="Calibri"/>
                <w:color w:val="595959"/>
                <w:sz w:val="16"/>
              </w:rPr>
              <w:t>B10.docx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B-13</w:t>
            </w:r>
          </w:p>
        </w:tc>
        <w:tc>
          <w:tcPr>
            <w:tcW w:type="dxa" w:w="3888"/>
            <w:shd w:fill="FFFFFF"/>
            <w:tcMar>
              <w:top w:w="60" w:type="dxa"/>
              <w:bottom w:w="60" w:type="dxa"/>
              <w:left w:w="80" w:type="dxa"/>
              <w:right w:w="80" w:type="dxa"/>
            </w:tcMar>
          </w:tcPr>
          <w:p>
            <w:pPr>
              <w:spacing w:after="0"/>
            </w:pPr>
            <w:r>
              <w:rPr>
                <w:rFonts w:ascii="Calibri" w:hAnsi="Calibri"/>
                <w:b/>
                <w:color w:val="1B365D"/>
                <w:sz w:val="17"/>
              </w:rPr>
              <w:t>API SECURITY PLATFORM FOR PAYMENT APPLICATIONS</w:t>
            </w:r>
          </w:p>
        </w:tc>
        <w:tc>
          <w:tcPr>
            <w:tcW w:type="dxa" w:w="2448"/>
            <w:shd w:fill="FFFFFF"/>
            <w:tcMar>
              <w:top w:w="60" w:type="dxa"/>
              <w:bottom w:w="60" w:type="dxa"/>
              <w:left w:w="80" w:type="dxa"/>
              <w:right w:w="80" w:type="dxa"/>
            </w:tcMar>
          </w:tcPr>
          <w:p>
            <w:pPr>
              <w:spacing w:after="0"/>
            </w:pPr>
            <w:r>
              <w:rPr>
                <w:rFonts w:ascii="Calibri" w:hAnsi="Calibri"/>
                <w:sz w:val="17"/>
              </w:rPr>
              <w:t>Cybersecurity, FinTech API Security &amp; Automated Vulnerability Assessment</w:t>
            </w:r>
          </w:p>
        </w:tc>
        <w:tc>
          <w:tcPr>
            <w:tcW w:type="dxa" w:w="1728"/>
            <w:shd w:fill="FFFFFF"/>
            <w:tcMar>
              <w:top w:w="60" w:type="dxa"/>
              <w:bottom w:w="60" w:type="dxa"/>
              <w:left w:w="80" w:type="dxa"/>
              <w:right w:w="80" w:type="dxa"/>
            </w:tcMar>
          </w:tcPr>
          <w:p>
            <w:pPr>
              <w:spacing w:after="0"/>
            </w:pPr>
            <w:r>
              <w:rPr>
                <w:rFonts w:ascii="Calibri" w:hAnsi="Calibri"/>
                <w:color w:val="595959"/>
                <w:sz w:val="16"/>
              </w:rPr>
              <w:t>B13.docx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B-14</w:t>
            </w:r>
          </w:p>
        </w:tc>
        <w:tc>
          <w:tcPr>
            <w:tcW w:type="dxa" w:w="3888"/>
            <w:shd w:fill="F0F4F8"/>
            <w:tcMar>
              <w:top w:w="60" w:type="dxa"/>
              <w:bottom w:w="60" w:type="dxa"/>
              <w:left w:w="80" w:type="dxa"/>
              <w:right w:w="80" w:type="dxa"/>
            </w:tcMar>
          </w:tcPr>
          <w:p>
            <w:pPr>
              <w:spacing w:after="0"/>
            </w:pPr>
            <w:r>
              <w:rPr>
                <w:rFonts w:ascii="Calibri" w:hAnsi="Calibri"/>
                <w:b/>
                <w:color w:val="1B365D"/>
                <w:sz w:val="17"/>
              </w:rPr>
              <w:t>AQUAVISION: AI-POWERED SMART WATER DISTRIBUTION AND QUALITY INTELLIGENCE PLATFORM</w:t>
            </w:r>
          </w:p>
        </w:tc>
        <w:tc>
          <w:tcPr>
            <w:tcW w:type="dxa" w:w="2448"/>
            <w:shd w:fill="F0F4F8"/>
            <w:tcMar>
              <w:top w:w="60" w:type="dxa"/>
              <w:bottom w:w="60" w:type="dxa"/>
              <w:left w:w="80" w:type="dxa"/>
              <w:right w:w="80" w:type="dxa"/>
            </w:tcMar>
          </w:tcPr>
          <w:p>
            <w:pPr>
              <w:spacing w:after="0"/>
            </w:pPr>
            <w:r>
              <w:rPr>
                <w:rFonts w:ascii="Calibri" w:hAnsi="Calibri"/>
                <w:sz w:val="17"/>
              </w:rPr>
              <w:t>Environmental Data Science, Machine Learning &amp; Smart Urban Infrastructure</w:t>
            </w:r>
          </w:p>
        </w:tc>
        <w:tc>
          <w:tcPr>
            <w:tcW w:type="dxa" w:w="1728"/>
            <w:shd w:fill="F0F4F8"/>
            <w:tcMar>
              <w:top w:w="60" w:type="dxa"/>
              <w:bottom w:w="60" w:type="dxa"/>
              <w:left w:w="80" w:type="dxa"/>
              <w:right w:w="80" w:type="dxa"/>
            </w:tcMar>
          </w:tcPr>
          <w:p>
            <w:pPr>
              <w:spacing w:after="0"/>
            </w:pPr>
            <w:r>
              <w:rPr>
                <w:rFonts w:ascii="Calibri" w:hAnsi="Calibri"/>
                <w:color w:val="595959"/>
                <w:sz w:val="16"/>
              </w:rPr>
              <w:t>B14.docx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B-15</w:t>
            </w:r>
          </w:p>
        </w:tc>
        <w:tc>
          <w:tcPr>
            <w:tcW w:type="dxa" w:w="3888"/>
            <w:shd w:fill="FFFFFF"/>
            <w:tcMar>
              <w:top w:w="60" w:type="dxa"/>
              <w:bottom w:w="60" w:type="dxa"/>
              <w:left w:w="80" w:type="dxa"/>
              <w:right w:w="80" w:type="dxa"/>
            </w:tcMar>
          </w:tcPr>
          <w:p>
            <w:pPr>
              <w:spacing w:after="0"/>
            </w:pPr>
            <w:r>
              <w:rPr>
                <w:rFonts w:ascii="Calibri" w:hAnsi="Calibri"/>
                <w:b/>
                <w:color w:val="1B365D"/>
                <w:sz w:val="17"/>
              </w:rPr>
              <w:t>AI-DRIVEN DISTRIBUTED OP BOOKING SYSTEM WITH INTELLIGENT DISEASE SEVERITY ANALYSIS AND DYNAMIC QUEUE POSITION SYSTEM</w:t>
            </w:r>
          </w:p>
        </w:tc>
        <w:tc>
          <w:tcPr>
            <w:tcW w:type="dxa" w:w="2448"/>
            <w:shd w:fill="FFFFFF"/>
            <w:tcMar>
              <w:top w:w="60" w:type="dxa"/>
              <w:bottom w:w="60" w:type="dxa"/>
              <w:left w:w="80" w:type="dxa"/>
              <w:right w:w="80" w:type="dxa"/>
            </w:tcMar>
          </w:tcPr>
          <w:p>
            <w:pPr>
              <w:spacing w:after="0"/>
            </w:pPr>
            <w:r>
              <w:rPr>
                <w:rFonts w:ascii="Calibri" w:hAnsi="Calibri"/>
                <w:sz w:val="17"/>
              </w:rPr>
              <w:t>Healthcare Operations, Distributed Systems &amp; Artificial Intelligence</w:t>
            </w:r>
          </w:p>
        </w:tc>
        <w:tc>
          <w:tcPr>
            <w:tcW w:type="dxa" w:w="1728"/>
            <w:shd w:fill="FFFFFF"/>
            <w:tcMar>
              <w:top w:w="60" w:type="dxa"/>
              <w:bottom w:w="60" w:type="dxa"/>
              <w:left w:w="80" w:type="dxa"/>
              <w:right w:w="80" w:type="dxa"/>
            </w:tcMar>
          </w:tcPr>
          <w:p>
            <w:pPr>
              <w:spacing w:after="0"/>
            </w:pPr>
            <w:r>
              <w:rPr>
                <w:rFonts w:ascii="Calibri" w:hAnsi="Calibri"/>
                <w:color w:val="595959"/>
                <w:sz w:val="16"/>
              </w:rPr>
              <w:t>B15.docx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B-16</w:t>
            </w:r>
          </w:p>
        </w:tc>
        <w:tc>
          <w:tcPr>
            <w:tcW w:type="dxa" w:w="3888"/>
            <w:shd w:fill="F0F4F8"/>
            <w:tcMar>
              <w:top w:w="60" w:type="dxa"/>
              <w:bottom w:w="60" w:type="dxa"/>
              <w:left w:w="80" w:type="dxa"/>
              <w:right w:w="80" w:type="dxa"/>
            </w:tcMar>
          </w:tcPr>
          <w:p>
            <w:pPr>
              <w:spacing w:after="0"/>
            </w:pPr>
            <w:r>
              <w:rPr>
                <w:rFonts w:ascii="Calibri" w:hAnsi="Calibri"/>
                <w:b/>
                <w:color w:val="1B365D"/>
                <w:sz w:val="17"/>
              </w:rPr>
              <w:t>AUTOMATIC DETECTION OF DIABETIC RETINOPATHY USING HAAR WAVELET TRANSFORM AND LENET CNN</w:t>
            </w:r>
          </w:p>
        </w:tc>
        <w:tc>
          <w:tcPr>
            <w:tcW w:type="dxa" w:w="2448"/>
            <w:shd w:fill="F0F4F8"/>
            <w:tcMar>
              <w:top w:w="60" w:type="dxa"/>
              <w:bottom w:w="60" w:type="dxa"/>
              <w:left w:w="80" w:type="dxa"/>
              <w:right w:w="80" w:type="dxa"/>
            </w:tcMar>
          </w:tcPr>
          <w:p>
            <w:pPr>
              <w:spacing w:after="0"/>
            </w:pPr>
            <w:r>
              <w:rPr>
                <w:rFonts w:ascii="Calibri" w:hAnsi="Calibri"/>
                <w:sz w:val="17"/>
              </w:rPr>
              <w:t>Medical Image Processing, Deep Learning &amp; Clinical Ophthalmology</w:t>
            </w:r>
          </w:p>
        </w:tc>
        <w:tc>
          <w:tcPr>
            <w:tcW w:type="dxa" w:w="1728"/>
            <w:shd w:fill="F0F4F8"/>
            <w:tcMar>
              <w:top w:w="60" w:type="dxa"/>
              <w:bottom w:w="60" w:type="dxa"/>
              <w:left w:w="80" w:type="dxa"/>
              <w:right w:w="80" w:type="dxa"/>
            </w:tcMar>
          </w:tcPr>
          <w:p>
            <w:pPr>
              <w:spacing w:after="0"/>
            </w:pPr>
            <w:r>
              <w:rPr>
                <w:rFonts w:ascii="Calibri" w:hAnsi="Calibri"/>
                <w:color w:val="595959"/>
                <w:sz w:val="16"/>
              </w:rPr>
              <w:t>B16.pdf</w:t>
            </w:r>
          </w:p>
        </w:tc>
      </w:tr>
    </w:tbl>
    <w:p>
      <w:r>
        <w:br w:type="page"/>
      </w:r>
    </w:p>
    <w:p>
      <w:pPr>
        <w:spacing w:before="80" w:after="40"/>
      </w:pPr>
      <w:r>
        <w:rPr>
          <w:rFonts w:ascii="Calibri" w:hAnsi="Calibri"/>
          <w:b/>
          <w:color w:val="2E75B6"/>
          <w:sz w:val="22"/>
        </w:rPr>
        <w:t>PROJECT #01 — BATCH NO: B-01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POWERED GOVERNMENT DECISION SUPPORT SYSTEM FOR SMART GOVERNANCE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Natural Language Processing &amp; E-Governance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AI-Powered Government Decision Support System for Smart Governance is designed to improve the management of public infrastructure complaints. Existing grievance systems mainly focus on complaint registration and status tracking, resulting in manual decision-making and delays. The proposed system uses Artificial Intelligence (AI) and Natural Language Processing (NLP) to analyze complaint information.</w:t>
            </w:r>
          </w:p>
          <w:p>
            <w:pPr>
              <w:spacing w:before="80" w:after="120" w:line="276" w:lineRule="auto"/>
              <w:jc w:val="both"/>
            </w:pPr>
            <w:r>
              <w:rPr>
                <w:rFonts w:ascii="Calibri" w:hAnsi="Calibri"/>
                <w:color w:val="262626"/>
                <w:sz w:val="20"/>
              </w:rPr>
              <w:t>It classifies complaints, predicts their priority, recommends the responsible department, and estimates the expected resolution time. Explainable Artificial Intelligence (XAI) provides clear reasons behind every AI-generated recommendation. Government officers review AI suggestions through an interactive dashboard and assign tasks to field staff. Field staff update complaint progress, while administrators manage users and system reports.</w:t>
            </w:r>
          </w:p>
          <w:p>
            <w:pPr>
              <w:spacing w:before="80" w:after="120" w:line="276" w:lineRule="auto"/>
              <w:jc w:val="both"/>
            </w:pPr>
            <w:r>
              <w:rPr>
                <w:rFonts w:ascii="Calibri" w:hAnsi="Calibri"/>
                <w:color w:val="262626"/>
                <w:sz w:val="20"/>
              </w:rPr>
              <w:t>The proposed system reduces manual effort and improves decision-making and complaint resolution. Overall, it enables transparent, efficient, and citizen-centric smart governance. The system collects complaints submitted by citizens along with images and location details. An AI Decision Support Engine analyzes the complaint, identifies its category, predicts its priority, recommends the responsible department, and estimates the expected resolution time.</w:t>
            </w:r>
          </w:p>
          <w:p>
            <w:pPr>
              <w:spacing w:before="160" w:after="0"/>
            </w:pPr>
            <w:r>
              <w:rPr>
                <w:rFonts w:ascii="Calibri" w:hAnsi="Calibri"/>
                <w:b/>
                <w:color w:val="1B365D"/>
                <w:sz w:val="19"/>
              </w:rPr>
              <w:t xml:space="preserve">Keywords: </w:t>
            </w:r>
            <w:r>
              <w:rPr>
                <w:rFonts w:ascii="Calibri" w:hAnsi="Calibri"/>
                <w:i/>
                <w:color w:val="262626"/>
                <w:sz w:val="19"/>
              </w:rPr>
              <w:t>Smart Governance, Public Grievance Redressal, AI Decision Support, Natural Language Processing (NLP), Priority Prediction, Department Routing, Explainable AI (XAI), Municipal Operations.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Architectural Workflow</w:t>
      </w:r>
    </w:p>
    <w:p>
      <w:pPr>
        <w:pStyle w:val="ListBullet"/>
        <w:spacing w:before="20" w:after="40" w:line="276" w:lineRule="auto"/>
      </w:pPr>
      <w:r>
        <w:rPr>
          <w:rFonts w:ascii="Calibri" w:hAnsi="Calibri"/>
          <w:b/>
          <w:color w:val="262626"/>
          <w:sz w:val="20"/>
        </w:rPr>
        <w:t>Citizen Ingestion Portal:</w:t>
      </w:r>
      <w:r>
        <w:rPr>
          <w:rFonts w:ascii="Calibri" w:hAnsi="Calibri"/>
          <w:color w:val="262626"/>
          <w:sz w:val="20"/>
        </w:rPr>
        <w:t xml:space="preserve"> Captures geotagged complaint narratives, photos, and municipal ward identifiers.</w:t>
      </w:r>
    </w:p>
    <w:p>
      <w:pPr>
        <w:pStyle w:val="ListBullet"/>
        <w:spacing w:before="20" w:after="40" w:line="276" w:lineRule="auto"/>
      </w:pPr>
      <w:r>
        <w:rPr>
          <w:rFonts w:ascii="Calibri" w:hAnsi="Calibri"/>
          <w:b/>
          <w:color w:val="262626"/>
          <w:sz w:val="20"/>
        </w:rPr>
        <w:t>AI NLP Triage Engine:</w:t>
      </w:r>
      <w:r>
        <w:rPr>
          <w:rFonts w:ascii="Calibri" w:hAnsi="Calibri"/>
          <w:color w:val="262626"/>
          <w:sz w:val="20"/>
        </w:rPr>
        <w:t xml:space="preserve"> Multi-task NLP classifier categorizing grievance issues (roads, water, electricity, sanitation) and estimating resolution SLA.</w:t>
      </w:r>
    </w:p>
    <w:p>
      <w:pPr>
        <w:pStyle w:val="ListBullet"/>
        <w:spacing w:before="20" w:after="40" w:line="276" w:lineRule="auto"/>
      </w:pPr>
      <w:r>
        <w:rPr>
          <w:rFonts w:ascii="Calibri" w:hAnsi="Calibri"/>
          <w:b/>
          <w:color w:val="262626"/>
          <w:sz w:val="20"/>
        </w:rPr>
        <w:t>Automated Priority Scorer:</w:t>
      </w:r>
      <w:r>
        <w:rPr>
          <w:rFonts w:ascii="Calibri" w:hAnsi="Calibri"/>
          <w:color w:val="262626"/>
          <w:sz w:val="20"/>
        </w:rPr>
        <w:t xml:space="preserve"> Assesses severity index based on public hazard exposure and community impact.</w:t>
      </w:r>
    </w:p>
    <w:p>
      <w:pPr>
        <w:pStyle w:val="ListBullet"/>
        <w:spacing w:before="20" w:after="40" w:line="276" w:lineRule="auto"/>
      </w:pPr>
      <w:r>
        <w:rPr>
          <w:rFonts w:ascii="Calibri" w:hAnsi="Calibri"/>
          <w:b/>
          <w:color w:val="262626"/>
          <w:sz w:val="20"/>
        </w:rPr>
        <w:t>Explainable Decision Dashboard:</w:t>
      </w:r>
      <w:r>
        <w:rPr>
          <w:rFonts w:ascii="Calibri" w:hAnsi="Calibri"/>
          <w:color w:val="262626"/>
          <w:sz w:val="20"/>
        </w:rPr>
        <w:t xml:space="preserve"> Provides administrative municipal officers with transparent rationales for routing and escalation.</w:t>
      </w:r>
    </w:p>
    <w:p>
      <w:pPr>
        <w:pStyle w:val="ListBullet"/>
        <w:spacing w:before="20" w:after="40" w:line="276" w:lineRule="auto"/>
      </w:pPr>
      <w:r>
        <w:rPr>
          <w:rFonts w:ascii="Calibri" w:hAnsi="Calibri"/>
          <w:b/>
          <w:color w:val="262626"/>
          <w:sz w:val="20"/>
        </w:rPr>
        <w:t>Field Staff Mobile Dispatch:</w:t>
      </w:r>
      <w:r>
        <w:rPr>
          <w:rFonts w:ascii="Calibri" w:hAnsi="Calibri"/>
          <w:color w:val="262626"/>
          <w:sz w:val="20"/>
        </w:rPr>
        <w:t xml:space="preserve"> Real-time work order allocation with GPS milestone verification.</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Eliminates administrative routing bottlenecks, increases citizen grievance resolution speed, and enhances governmental accountability.</w:t>
      </w:r>
    </w:p>
    <w:p>
      <w:r>
        <w:br w:type="page"/>
      </w:r>
    </w:p>
    <w:p>
      <w:pPr>
        <w:spacing w:before="80" w:after="40"/>
      </w:pPr>
      <w:r>
        <w:rPr>
          <w:rFonts w:ascii="Calibri" w:hAnsi="Calibri"/>
          <w:b/>
          <w:color w:val="2E75B6"/>
          <w:sz w:val="22"/>
        </w:rPr>
        <w:t>PROJECT #02 — BATCH NO: B-02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IoT-Driven Mobile Network Detection and Automatic Complaint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Internet of Things (IoT), Machine Learning &amp; Telecommunications Informatics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Reliable mobile network coverage is critical for digital services, yet rural and semi‑urban regions continue to face weak signals, call drops, and unresolved complaints. Existing IEEE studies, such as Mobile Network Coverage Prediction Based on Supervised Machine Learning Algorithms (IEEE Access), demonstrate that models like Gaussian Process Regression and Random Forest can predict signal strength with high accuracy, but remain limited to prediction only, without offering real‑time solutions or complaint automation.</w:t>
            </w:r>
          </w:p>
          <w:p>
            <w:pPr>
              <w:spacing w:before="80" w:after="120" w:line="276" w:lineRule="auto"/>
              <w:jc w:val="both"/>
            </w:pPr>
            <w:r>
              <w:rPr>
                <w:rFonts w:ascii="Calibri" w:hAnsi="Calibri"/>
                <w:color w:val="262626"/>
                <w:sz w:val="20"/>
              </w:rPr>
              <w:t>This project introduces an IoT‑driven AI agent system for end‑to‑end mobile network monitoring and automated complaint registration. Using ESP32/Raspberry Pi modules, GSM sensors, and smartphone APIs, the system verifies 2G–5G signals, performs GPS‑based zone classification, and auto‑registers complaints via SMS gateways or REST APIs. Unlike prior models, the proposed system ensures offline‑first resilience, functioning even during power cuts or without internet connectivity, making it inclusive for underserved regions.</w:t>
            </w:r>
          </w:p>
          <w:p>
            <w:pPr>
              <w:spacing w:before="80" w:after="120" w:line="276" w:lineRule="auto"/>
              <w:jc w:val="both"/>
            </w:pPr>
            <w:r>
              <w:rPr>
                <w:rFonts w:ascii="Calibri" w:hAnsi="Calibri"/>
                <w:color w:val="262626"/>
                <w:sz w:val="20"/>
              </w:rPr>
              <w:t>A complaint lifecycle dashboard provides transparency by tracking issues from detection to resolution, empowering communities with accountability. By combining machine learning detection (GPR, Random Forest), IoT resilience, and automated grievance redressal, the system addresses key limitations of earlier approaches—moving beyond prediction to deliver real‑time detection, automation, offline support, and complete complaint monitoring. This work offers a practical, scalable solution for improving telecom service reliability in real‑world scenarios.</w:t>
            </w:r>
          </w:p>
          <w:p>
            <w:pPr>
              <w:spacing w:before="160" w:after="0"/>
            </w:pPr>
            <w:r>
              <w:rPr>
                <w:rFonts w:ascii="Calibri" w:hAnsi="Calibri"/>
                <w:b/>
                <w:color w:val="1B365D"/>
                <w:sz w:val="19"/>
              </w:rPr>
              <w:t xml:space="preserve">Keywords: </w:t>
            </w:r>
            <w:r>
              <w:rPr>
                <w:rFonts w:ascii="Calibri" w:hAnsi="Calibri"/>
                <w:i/>
                <w:color w:val="262626"/>
                <w:sz w:val="19"/>
              </w:rPr>
              <w:t>IoT Telemetry, Mobile Network Coverage, Signal Strength Prediction, Gaussian Process Regression (GPR), Random Forest, Automated Grievance Filing, ESP32, Offline-First Architecture.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Hardware &amp; Edge Sensing Stack</w:t>
      </w:r>
    </w:p>
    <w:p>
      <w:pPr>
        <w:pStyle w:val="ListBullet"/>
        <w:spacing w:before="20" w:after="40" w:line="276" w:lineRule="auto"/>
      </w:pPr>
      <w:r>
        <w:rPr>
          <w:rFonts w:ascii="Calibri" w:hAnsi="Calibri"/>
          <w:b/>
          <w:color w:val="262626"/>
          <w:sz w:val="20"/>
        </w:rPr>
        <w:t>Microcontroller Units:</w:t>
      </w:r>
      <w:r>
        <w:rPr>
          <w:rFonts w:ascii="Calibri" w:hAnsi="Calibri"/>
          <w:color w:val="262626"/>
          <w:sz w:val="20"/>
        </w:rPr>
        <w:t xml:space="preserve"> ESP32 / Raspberry Pi edge computing nodes with dedicated GSM/LTE modems.</w:t>
      </w:r>
    </w:p>
    <w:p>
      <w:pPr>
        <w:pStyle w:val="ListBullet"/>
        <w:spacing w:before="20" w:after="40" w:line="276" w:lineRule="auto"/>
      </w:pPr>
      <w:r>
        <w:rPr>
          <w:rFonts w:ascii="Calibri" w:hAnsi="Calibri"/>
          <w:b/>
          <w:color w:val="262626"/>
          <w:sz w:val="20"/>
        </w:rPr>
        <w:t>Multi-Band Signal Scanners:</w:t>
      </w:r>
      <w:r>
        <w:rPr>
          <w:rFonts w:ascii="Calibri" w:hAnsi="Calibri"/>
          <w:color w:val="262626"/>
          <w:sz w:val="20"/>
        </w:rPr>
        <w:t xml:space="preserve"> Measures RSSI, RSRP, RSRQ, and SINR across 2G, 3G, 4G, and 5G cellular frequencies.</w:t>
      </w:r>
    </w:p>
    <w:p>
      <w:pPr>
        <w:pStyle w:val="ListBullet"/>
        <w:spacing w:before="20" w:after="40" w:line="276" w:lineRule="auto"/>
      </w:pPr>
      <w:r>
        <w:rPr>
          <w:rFonts w:ascii="Calibri" w:hAnsi="Calibri"/>
          <w:b/>
          <w:color w:val="262626"/>
          <w:sz w:val="20"/>
        </w:rPr>
        <w:t>Offline-First Store-and-Forward:</w:t>
      </w:r>
      <w:r>
        <w:rPr>
          <w:rFonts w:ascii="Calibri" w:hAnsi="Calibri"/>
          <w:color w:val="262626"/>
          <w:sz w:val="20"/>
        </w:rPr>
        <w:t xml:space="preserve"> Queues localized signal degradation telemetry on flash storage during network blackouts, syncing automatically upon link restoration.</w:t>
      </w:r>
    </w:p>
    <w:p>
      <w:pPr>
        <w:pStyle w:val="ListBullet"/>
        <w:spacing w:before="20" w:after="40" w:line="276" w:lineRule="auto"/>
      </w:pPr>
      <w:r>
        <w:rPr>
          <w:rFonts w:ascii="Calibri" w:hAnsi="Calibri"/>
          <w:b/>
          <w:color w:val="262626"/>
          <w:sz w:val="20"/>
        </w:rPr>
        <w:t>Automated Redressal Gateway:</w:t>
      </w:r>
      <w:r>
        <w:rPr>
          <w:rFonts w:ascii="Calibri" w:hAnsi="Calibri"/>
          <w:color w:val="262626"/>
          <w:sz w:val="20"/>
        </w:rPr>
        <w:t xml:space="preserve"> Auto-generates telecom ticket dispatches via cellular SMS channels and carrier REST APIs.</w:t>
      </w:r>
    </w:p>
    <w:p>
      <w:pPr>
        <w:spacing w:before="160" w:after="40"/>
      </w:pPr>
      <w:r>
        <w:rPr>
          <w:rFonts w:ascii="Calibri" w:hAnsi="Calibri"/>
          <w:b/>
          <w:color w:val="2E75B6"/>
          <w:sz w:val="22"/>
        </w:rPr>
        <w:t>Machine Learning Models</w:t>
      </w:r>
    </w:p>
    <w:p>
      <w:pPr>
        <w:spacing w:before="40" w:after="80" w:line="276" w:lineRule="auto"/>
        <w:jc w:val="both"/>
      </w:pPr>
      <w:r>
        <w:rPr>
          <w:rFonts w:ascii="Calibri" w:hAnsi="Calibri"/>
          <w:color w:val="262626"/>
          <w:sz w:val="20"/>
        </w:rPr>
        <w:t>Gaussian Process Regression (GPR) and Random Forest for spatial RF propagation interpolation.</w:t>
      </w:r>
    </w:p>
    <w:p>
      <w:r>
        <w:br w:type="page"/>
      </w:r>
    </w:p>
    <w:p>
      <w:pPr>
        <w:spacing w:before="80" w:after="40"/>
      </w:pPr>
      <w:r>
        <w:rPr>
          <w:rFonts w:ascii="Calibri" w:hAnsi="Calibri"/>
          <w:b/>
          <w:color w:val="2E75B6"/>
          <w:sz w:val="22"/>
        </w:rPr>
        <w:t>PROJECT #03 — BATCH NO: B-04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UPI Guardian: AI-Based Adaptive Fraud Prevention Framework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FinTech Security, Machine Learning &amp; Payment Fraud Prevention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B4.docx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the Unified Payments Interface (UPI) has made digital payments faster, simpler, and more convenient. However, it has also increased frauds such as phishing attacks, fake payment requests, QR code scams, and social engineering. Existing AI-based fraud detection systems can identify suspicious transactions but cannot always prevent users from unknowingly sending money to fraudsters.</w:t>
            </w:r>
          </w:p>
          <w:p>
            <w:pPr>
              <w:spacing w:before="80" w:after="120" w:line="276" w:lineRule="auto"/>
              <w:jc w:val="both"/>
            </w:pPr>
            <w:r>
              <w:rPr>
                <w:rFonts w:ascii="Calibri" w:hAnsi="Calibri"/>
                <w:color w:val="262626"/>
                <w:sz w:val="20"/>
              </w:rPr>
              <w:t>To address this problem, we propose UPI Guardian, an AI-Based Adaptive Fraud Prevention Framework that performs AI Risk Analysis using transaction behavior, payment history, receiver trust score, and suspicious SMS indicators. Based on the calculated risk, the system activates Smart Payment Intent Verification, Delayed Protection Mode, and AI Explainable Risk Analysis for high-risk transactions. The framework also provides Personalized Multilingual Voice Assistance in English, Hindi, and Telugu to improve accessibility. Overall, UPI Guardian aims to make digital payments safer, smarter, more secure, and user-friendly.</w:t>
            </w:r>
          </w:p>
          <w:p>
            <w:pPr>
              <w:spacing w:before="160" w:after="0"/>
            </w:pPr>
            <w:r>
              <w:rPr>
                <w:rFonts w:ascii="Calibri" w:hAnsi="Calibri"/>
                <w:b/>
                <w:color w:val="1B365D"/>
                <w:sz w:val="19"/>
              </w:rPr>
              <w:t xml:space="preserve">Keywords: </w:t>
            </w:r>
            <w:r>
              <w:rPr>
                <w:rFonts w:ascii="Calibri" w:hAnsi="Calibri"/>
                <w:i/>
                <w:color w:val="262626"/>
                <w:sz w:val="19"/>
              </w:rPr>
              <w:t>UPI, Fraud Prevention, AI Risk Analysis, Trust Score, Smart Payment Intent Verification, Delayed Protection Mode, Explainable AI, Multilingual Voice Assistance.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Adaptive Protection Mechanisms</w:t>
      </w:r>
    </w:p>
    <w:p>
      <w:pPr>
        <w:pStyle w:val="ListBullet"/>
        <w:spacing w:before="20" w:after="40" w:line="276" w:lineRule="auto"/>
      </w:pPr>
      <w:r>
        <w:rPr>
          <w:rFonts w:ascii="Calibri" w:hAnsi="Calibri"/>
          <w:b/>
          <w:color w:val="262626"/>
          <w:sz w:val="20"/>
        </w:rPr>
        <w:t>Dynamic Receiver Trust Scoring:</w:t>
      </w:r>
      <w:r>
        <w:rPr>
          <w:rFonts w:ascii="Calibri" w:hAnsi="Calibri"/>
          <w:color w:val="262626"/>
          <w:sz w:val="20"/>
        </w:rPr>
        <w:t xml:space="preserve"> Analyzes VPA (Virtual Payment Address) age, complaint history, velocity of incoming payments, and account creation patterns.</w:t>
      </w:r>
    </w:p>
    <w:p>
      <w:pPr>
        <w:pStyle w:val="ListBullet"/>
        <w:spacing w:before="20" w:after="40" w:line="276" w:lineRule="auto"/>
      </w:pPr>
      <w:r>
        <w:rPr>
          <w:rFonts w:ascii="Calibri" w:hAnsi="Calibri"/>
          <w:b/>
          <w:color w:val="262626"/>
          <w:sz w:val="20"/>
        </w:rPr>
        <w:t>Smart Intent Confirmation:</w:t>
      </w:r>
      <w:r>
        <w:rPr>
          <w:rFonts w:ascii="Calibri" w:hAnsi="Calibri"/>
          <w:color w:val="262626"/>
          <w:sz w:val="20"/>
        </w:rPr>
        <w:t xml:space="preserve"> Intercepts reverse payment requests disguised as 'rewards' or 'refunds' via intent dialogs.</w:t>
      </w:r>
    </w:p>
    <w:p>
      <w:pPr>
        <w:pStyle w:val="ListBullet"/>
        <w:spacing w:before="20" w:after="40" w:line="276" w:lineRule="auto"/>
      </w:pPr>
      <w:r>
        <w:rPr>
          <w:rFonts w:ascii="Calibri" w:hAnsi="Calibri"/>
          <w:b/>
          <w:color w:val="262626"/>
          <w:sz w:val="20"/>
        </w:rPr>
        <w:t>Delayed Protection Mode:</w:t>
      </w:r>
      <w:r>
        <w:rPr>
          <w:rFonts w:ascii="Calibri" w:hAnsi="Calibri"/>
          <w:color w:val="262626"/>
          <w:sz w:val="20"/>
        </w:rPr>
        <w:t xml:space="preserve"> Imposes cooling-off transaction buffers on anomalous high-value first-time transfers.</w:t>
      </w:r>
    </w:p>
    <w:p>
      <w:pPr>
        <w:pStyle w:val="ListBullet"/>
        <w:spacing w:before="20" w:after="40" w:line="276" w:lineRule="auto"/>
      </w:pPr>
      <w:r>
        <w:rPr>
          <w:rFonts w:ascii="Calibri" w:hAnsi="Calibri"/>
          <w:b/>
          <w:color w:val="262626"/>
          <w:sz w:val="20"/>
        </w:rPr>
        <w:t>Multilingual Audio Interventions:</w:t>
      </w:r>
      <w:r>
        <w:rPr>
          <w:rFonts w:ascii="Calibri" w:hAnsi="Calibri"/>
          <w:color w:val="262626"/>
          <w:sz w:val="20"/>
        </w:rPr>
        <w:t xml:space="preserve"> Delivers voice warnings in English, Hindi, and Telugu alerting senior citizens and rural users of suspected scams.</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Protects digital payment users from coercive social engineering and fraudulent QR-code sweep traps before money leaves the sender's account.</w:t>
      </w:r>
    </w:p>
    <w:p>
      <w:r>
        <w:br w:type="page"/>
      </w:r>
    </w:p>
    <w:p>
      <w:pPr>
        <w:spacing w:before="80" w:after="40"/>
      </w:pPr>
      <w:r>
        <w:rPr>
          <w:rFonts w:ascii="Calibri" w:hAnsi="Calibri"/>
          <w:b/>
          <w:color w:val="2E75B6"/>
          <w:sz w:val="22"/>
        </w:rPr>
        <w:t>PROJECT #04 — BATCH NO: B-05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AI-Powered Real-Time Indian Sign Language Recognition and Bidirectional Communication System with Live Subtitle Generation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&amp; Assistive Human-Computer Interaction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B5.docx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Communication between hearing-impaired individuals and the general public remains a significant challenge in everyday life. Indian Sign Language (ISL) is widely used by the deaf and hard-of-hearing community; however, most people are not familiar with sign language, creating communication barriers in schools, hospitals, workplaces, and public places. The limited availability of trained ISL interpreters further increases this gap.</w:t>
            </w:r>
          </w:p>
          <w:p>
            <w:pPr>
              <w:spacing w:before="80" w:after="120" w:line="276" w:lineRule="auto"/>
              <w:jc w:val="both"/>
            </w:pPr>
            <w:r>
              <w:rPr>
                <w:rFonts w:ascii="Calibri" w:hAnsi="Calibri"/>
                <w:color w:val="262626"/>
                <w:sz w:val="20"/>
              </w:rPr>
              <w:t>This project proposes an AI-Powered Real-Time Indian Sign Language Recognition and Bidirectional Communication System designed to provide an accessible and efficient solution for communication between ISL users and non-sign-language users. The system captures hand gestures through a camera and recognizes ISL signs in real time, converting them into corresponding text and speech. In the reverse direction, spoken language is converted into text and displayed as live subtitles, enabling two-way communication.</w:t>
            </w:r>
          </w:p>
          <w:p>
            <w:pPr>
              <w:spacing w:before="80" w:after="120" w:line="276" w:lineRule="auto"/>
              <w:jc w:val="both"/>
            </w:pPr>
            <w:r>
              <w:rPr>
                <w:rFonts w:ascii="Calibri" w:hAnsi="Calibri"/>
                <w:color w:val="262626"/>
                <w:sz w:val="20"/>
              </w:rPr>
              <w:t>The proposed system focuses on real-time processing, continuous sentence formation, confidence-based recognition, low-latency communication, and accessibility. It is designed with offline operation and edge-device deployment in mind, reducing dependence on continuous internet connectivity. The integration of IoT and edge-computing concepts enables the system to be used in portable and resource-constrained environments.</w:t>
            </w:r>
          </w:p>
          <w:p>
            <w:pPr>
              <w:spacing w:before="80" w:after="120" w:line="276" w:lineRule="auto"/>
              <w:jc w:val="both"/>
            </w:pPr>
            <w:r>
              <w:rPr>
                <w:rFonts w:ascii="Calibri" w:hAnsi="Calibri"/>
                <w:color w:val="262626"/>
                <w:sz w:val="20"/>
              </w:rPr>
              <w:t>The developed solution aims to reduce communication barriers, improve independence for hearing-impaired individuals, and provide a practical, affordable, and accessible communication platform for everyday use.</w:t>
            </w:r>
          </w:p>
          <w:p>
            <w:pPr>
              <w:spacing w:before="160" w:after="0"/>
            </w:pPr>
            <w:r>
              <w:rPr>
                <w:rFonts w:ascii="Calibri" w:hAnsi="Calibri"/>
                <w:b/>
                <w:color w:val="1B365D"/>
                <w:sz w:val="19"/>
              </w:rPr>
              <w:t xml:space="preserve">Keywords: </w:t>
            </w:r>
            <w:r>
              <w:rPr>
                <w:rFonts w:ascii="Calibri" w:hAnsi="Calibri"/>
                <w:i/>
                <w:color w:val="262626"/>
                <w:sz w:val="19"/>
              </w:rPr>
              <w:t>Indian Sign Language (ISL), Bidirectional Translation, Real-Time Gesture Recognition, Computer Vision, Speech-to-Text Live Subtitles, Text-to-Speech Voice Output, Edge Computing, IoT Assistive Devices.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Bidirectional Communication Modules</w:t>
      </w:r>
    </w:p>
    <w:p>
      <w:pPr>
        <w:pStyle w:val="ListBullet"/>
        <w:spacing w:before="20" w:after="40" w:line="276" w:lineRule="auto"/>
      </w:pPr>
      <w:r>
        <w:rPr>
          <w:rFonts w:ascii="Calibri" w:hAnsi="Calibri"/>
          <w:b/>
          <w:color w:val="262626"/>
          <w:sz w:val="20"/>
        </w:rPr>
        <w:t>Sign-to-Voice Channel:</w:t>
      </w:r>
      <w:r>
        <w:rPr>
          <w:rFonts w:ascii="Calibri" w:hAnsi="Calibri"/>
          <w:color w:val="262626"/>
          <w:sz w:val="20"/>
        </w:rPr>
        <w:t xml:space="preserve"> Optical camera captures ISL spatial hand configurations, recognizes gestures via deep networks, and synthesizes clear vocal speech.</w:t>
      </w:r>
    </w:p>
    <w:p>
      <w:pPr>
        <w:pStyle w:val="ListBullet"/>
        <w:spacing w:before="20" w:after="40" w:line="276" w:lineRule="auto"/>
      </w:pPr>
      <w:r>
        <w:rPr>
          <w:rFonts w:ascii="Calibri" w:hAnsi="Calibri"/>
          <w:b/>
          <w:color w:val="262626"/>
          <w:sz w:val="20"/>
        </w:rPr>
        <w:t>Voice-to-Subtitle Channel:</w:t>
      </w:r>
      <w:r>
        <w:rPr>
          <w:rFonts w:ascii="Calibri" w:hAnsi="Calibri"/>
          <w:color w:val="262626"/>
          <w:sz w:val="20"/>
        </w:rPr>
        <w:t xml:space="preserve"> Automatic Speech Recognition (ASR) converts hearing conversationalist audio into real-time visual closed-captions.</w:t>
      </w:r>
    </w:p>
    <w:p>
      <w:pPr>
        <w:pStyle w:val="ListBullet"/>
        <w:spacing w:before="20" w:after="40" w:line="276" w:lineRule="auto"/>
      </w:pPr>
      <w:r>
        <w:rPr>
          <w:rFonts w:ascii="Calibri" w:hAnsi="Calibri"/>
          <w:b/>
          <w:color w:val="262626"/>
          <w:sz w:val="20"/>
        </w:rPr>
        <w:t>Continuous Sentence Grammar Synthesizer:</w:t>
      </w:r>
      <w:r>
        <w:rPr>
          <w:rFonts w:ascii="Calibri" w:hAnsi="Calibri"/>
          <w:color w:val="262626"/>
          <w:sz w:val="20"/>
        </w:rPr>
        <w:t xml:space="preserve"> Converts isolated ISL glosses into grammatically fluent natural language sentences.</w:t>
      </w:r>
    </w:p>
    <w:p>
      <w:pPr>
        <w:pStyle w:val="ListBullet"/>
        <w:spacing w:before="20" w:after="40" w:line="276" w:lineRule="auto"/>
      </w:pPr>
      <w:r>
        <w:rPr>
          <w:rFonts w:ascii="Calibri" w:hAnsi="Calibri"/>
          <w:b/>
          <w:color w:val="262626"/>
          <w:sz w:val="20"/>
        </w:rPr>
        <w:t>Edge-Optimized Deployment:</w:t>
      </w:r>
      <w:r>
        <w:rPr>
          <w:rFonts w:ascii="Calibri" w:hAnsi="Calibri"/>
          <w:color w:val="262626"/>
          <w:sz w:val="20"/>
        </w:rPr>
        <w:t xml:space="preserve"> Runs on low-power edge compute boards without cloud latency.</w:t>
      </w:r>
    </w:p>
    <w:p>
      <w:pPr>
        <w:spacing w:before="160" w:after="40"/>
      </w:pPr>
      <w:r>
        <w:rPr>
          <w:rFonts w:ascii="Calibri" w:hAnsi="Calibri"/>
          <w:b/>
          <w:color w:val="2E75B6"/>
          <w:sz w:val="22"/>
        </w:rPr>
        <w:t>Target Deployments</w:t>
      </w:r>
    </w:p>
    <w:p>
      <w:pPr>
        <w:spacing w:before="40" w:after="80" w:line="276" w:lineRule="auto"/>
        <w:jc w:val="both"/>
      </w:pPr>
      <w:r>
        <w:rPr>
          <w:rFonts w:ascii="Calibri" w:hAnsi="Calibri"/>
          <w:color w:val="262626"/>
          <w:sz w:val="20"/>
        </w:rPr>
        <w:t>Bank teller windows, hospital outpatient counters, educational lecture halls, and emergency assistance kiosks.</w:t>
      </w:r>
    </w:p>
    <w:p>
      <w:r>
        <w:br w:type="page"/>
      </w:r>
    </w:p>
    <w:p>
      <w:pPr>
        <w:spacing w:before="80" w:after="40"/>
      </w:pPr>
      <w:r>
        <w:rPr>
          <w:rFonts w:ascii="Calibri" w:hAnsi="Calibri"/>
          <w:b/>
          <w:color w:val="2E75B6"/>
          <w:sz w:val="22"/>
        </w:rPr>
        <w:t>PROJECT #05 — BATCH NO: B-06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AI-ENHANCED PATIENT-CENTRIC UNIFIED HEALTH DATA INTEROPERABILITY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Healthcare Informatics, Health Data Interoperability (HL7 FHIR) &amp; AI Clinical Support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B6.docx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Healthcare organizations generate large amounts of patient data during diagnosis, treatment, laboratory investigations, and medication management. However, this information is often stored separately across different hospitals, making it difficult for healthcare providers to obtain a patient's complete medical history when the patient visits a new healthcare institution. Although existing interoperability approaches support secure exchange of medical information between healthcare providers, they mainly focus on data sharing and do not fully address the challenges of maintaining a unified, patient-centric health record across multiple hospital visits. The absence of a centralized view of patient information can lead to fragmented medical records, repeated diagnostic procedures, delayed clinical decisions, and reduced continuity of care.</w:t>
            </w:r>
          </w:p>
          <w:p>
            <w:pPr>
              <w:spacing w:before="80" w:after="120" w:line="276" w:lineRule="auto"/>
              <w:jc w:val="both"/>
            </w:pPr>
            <w:r>
              <w:rPr>
                <w:rFonts w:ascii="Calibri" w:hAnsi="Calibri"/>
                <w:color w:val="262626"/>
                <w:sz w:val="20"/>
              </w:rPr>
              <w:t>This project proposes an AI-Enhanced Patient-Centric Unified Health Record Interoperability System that supports secure interoperability across multiple healthcare institutions and unified patient health record management. The proposed system enables hospitals to exchange standardized patient records using HL7 Fast Healthcare Interoperability Resources (FHIR). A Master Patient Index (MPI) identifies the hospitals where a patient's records are available, enabling authorized retrieval of previous medical records through secure FHIR-based REST APIs with authentication and patient consent. After treatment completion, participating hospitals synchronize a standardized FHIR representation of the patient's clinical information to the Unified Patient Health Platform, allowing patients to securely access their complete medical history through a mobile application while hospitals retain ownership of their original records.</w:t>
            </w:r>
          </w:p>
          <w:p>
            <w:pPr>
              <w:spacing w:before="80" w:after="120" w:line="276" w:lineRule="auto"/>
              <w:jc w:val="both"/>
            </w:pPr>
            <w:r>
              <w:rPr>
                <w:rFonts w:ascii="Calibri" w:hAnsi="Calibri"/>
                <w:color w:val="262626"/>
                <w:sz w:val="20"/>
              </w:rPr>
              <w:t>An integrated AI Health Assistant uses the Random Forest algorithm to analyze unified patient records, predict potential health risks, provide personalized report explanations, generate treatment summaries, offer medication guidance, follow-up reminders, and answer patient health queries.</w:t>
            </w:r>
          </w:p>
          <w:p>
            <w:pPr>
              <w:spacing w:before="160" w:after="0"/>
            </w:pPr>
            <w:r>
              <w:rPr>
                <w:rFonts w:ascii="Calibri" w:hAnsi="Calibri"/>
                <w:b/>
                <w:color w:val="1B365D"/>
                <w:sz w:val="19"/>
              </w:rPr>
              <w:t xml:space="preserve">Keywords: </w:t>
            </w:r>
            <w:r>
              <w:rPr>
                <w:rFonts w:ascii="Calibri" w:hAnsi="Calibri"/>
                <w:i/>
                <w:color w:val="262626"/>
                <w:sz w:val="19"/>
              </w:rPr>
              <w:t>Healthcare Interoperability, HL7 FHIR Standards, Master Patient Index (MPI), Patient-Centric Health Records, Random Forest AI Assistant, Health Risk Prediction, Clinical Continuity of Care.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Interoperability Architecture</w:t>
      </w:r>
    </w:p>
    <w:p>
      <w:pPr>
        <w:pStyle w:val="ListBullet"/>
        <w:spacing w:before="20" w:after="40" w:line="276" w:lineRule="auto"/>
      </w:pPr>
      <w:r>
        <w:rPr>
          <w:rFonts w:ascii="Calibri" w:hAnsi="Calibri"/>
          <w:b/>
          <w:color w:val="262626"/>
          <w:sz w:val="20"/>
        </w:rPr>
        <w:t>HL7 FHIR RESTful Adapters:</w:t>
      </w:r>
      <w:r>
        <w:rPr>
          <w:rFonts w:ascii="Calibri" w:hAnsi="Calibri"/>
          <w:color w:val="262626"/>
          <w:sz w:val="20"/>
        </w:rPr>
        <w:t xml:space="preserve"> Standardizes EHR resource bundles (Patient, Observation, Condition, DiagnosticReport, MedicationRequest).</w:t>
      </w:r>
    </w:p>
    <w:p>
      <w:pPr>
        <w:pStyle w:val="ListBullet"/>
        <w:spacing w:before="20" w:after="40" w:line="276" w:lineRule="auto"/>
      </w:pPr>
      <w:r>
        <w:rPr>
          <w:rFonts w:ascii="Calibri" w:hAnsi="Calibri"/>
          <w:b/>
          <w:color w:val="262626"/>
          <w:sz w:val="20"/>
        </w:rPr>
        <w:t>Master Patient Index (MPI):</w:t>
      </w:r>
      <w:r>
        <w:rPr>
          <w:rFonts w:ascii="Calibri" w:hAnsi="Calibri"/>
          <w:color w:val="262626"/>
          <w:sz w:val="20"/>
        </w:rPr>
        <w:t xml:space="preserve"> Federated identity resolution indexing cross-hospital medical identifiers with biometric consent.</w:t>
      </w:r>
    </w:p>
    <w:p>
      <w:pPr>
        <w:pStyle w:val="ListBullet"/>
        <w:spacing w:before="20" w:after="40" w:line="276" w:lineRule="auto"/>
      </w:pPr>
      <w:r>
        <w:rPr>
          <w:rFonts w:ascii="Calibri" w:hAnsi="Calibri"/>
          <w:b/>
          <w:color w:val="262626"/>
          <w:sz w:val="20"/>
        </w:rPr>
        <w:t>Patient Data Sovereignty Vault:</w:t>
      </w:r>
      <w:r>
        <w:rPr>
          <w:rFonts w:ascii="Calibri" w:hAnsi="Calibri"/>
          <w:color w:val="262626"/>
          <w:sz w:val="20"/>
        </w:rPr>
        <w:t xml:space="preserve"> Mobile app empowering patients to grant and revoke time-limited physician viewing access.</w:t>
      </w:r>
    </w:p>
    <w:p>
      <w:pPr>
        <w:pStyle w:val="ListBullet"/>
        <w:spacing w:before="20" w:after="40" w:line="276" w:lineRule="auto"/>
      </w:pPr>
      <w:r>
        <w:rPr>
          <w:rFonts w:ascii="Calibri" w:hAnsi="Calibri"/>
          <w:b/>
          <w:color w:val="262626"/>
          <w:sz w:val="20"/>
        </w:rPr>
        <w:t>AI Health Risk &amp; Trajectory Engine:</w:t>
      </w:r>
      <w:r>
        <w:rPr>
          <w:rFonts w:ascii="Calibri" w:hAnsi="Calibri"/>
          <w:color w:val="262626"/>
          <w:sz w:val="20"/>
        </w:rPr>
        <w:t xml:space="preserve"> Uses Random Forest classifiers to predict chronic complications and prevent adverse drug-drug interactions.</w:t>
      </w:r>
    </w:p>
    <w:p>
      <w:pPr>
        <w:spacing w:before="160" w:after="40"/>
      </w:pPr>
      <w:r>
        <w:rPr>
          <w:rFonts w:ascii="Calibri" w:hAnsi="Calibri"/>
          <w:b/>
          <w:color w:val="2E75B6"/>
          <w:sz w:val="22"/>
        </w:rPr>
        <w:t>Clinical Benefits</w:t>
      </w:r>
    </w:p>
    <w:p>
      <w:pPr>
        <w:spacing w:before="40" w:after="80" w:line="276" w:lineRule="auto"/>
        <w:jc w:val="both"/>
      </w:pPr>
      <w:r>
        <w:rPr>
          <w:rFonts w:ascii="Calibri" w:hAnsi="Calibri"/>
          <w:color w:val="262626"/>
          <w:sz w:val="20"/>
        </w:rPr>
        <w:t>Eliminates redundant diagnostic testing, prevents allergic medication conflicts, and enables seamless clinical continuity during patient transfers.</w:t>
      </w:r>
    </w:p>
    <w:p>
      <w:r>
        <w:br w:type="page"/>
      </w:r>
    </w:p>
    <w:p>
      <w:pPr>
        <w:spacing w:before="80" w:after="40"/>
      </w:pPr>
      <w:r>
        <w:rPr>
          <w:rFonts w:ascii="Calibri" w:hAnsi="Calibri"/>
          <w:b/>
          <w:color w:val="2E75B6"/>
          <w:sz w:val="22"/>
        </w:rPr>
        <w:t>PROJECT #06 — BATCH NO: B-08</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Enhanced AI-Based Human Activity Recognition with Fall Detection and Emergency Alert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B-08</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Ambient Assisted Living &amp; Healthcare Monitoring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B8.docx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Mr. M. Arokia Muthu (Assistant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K Nandini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23K91A6797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K Mallishwari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23K91A6787</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K Vivek</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23K91A6781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 Sagar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23K91A67B4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Human Activity Recognition (HAR) is an important application of Artificial Intelligence (AI) that enables the automatic identification of human activities for applications such as healthcare, elderly care, smart homes, surveillance, and human-computer interaction. Existing HAR systems mainly focus on recognizing daily activities but are limited by small datasets, controlled environments, and the absence of fall detection and emergency response mechanisms, reducing their effectiveness in real-world scenarios.</w:t>
            </w:r>
          </w:p>
          <w:p>
            <w:pPr>
              <w:spacing w:before="80" w:after="120" w:line="276" w:lineRule="auto"/>
              <w:jc w:val="both"/>
            </w:pPr>
            <w:r>
              <w:rPr>
                <w:rFonts w:ascii="Calibri" w:hAnsi="Calibri"/>
                <w:color w:val="262626"/>
                <w:sz w:val="20"/>
              </w:rPr>
              <w:t>The proposed Enhanced AI-Based Human Activity Recognition with Fall Detection and Emergency Alert System uses vision-based data to accurately recognize activities such as walking, standing, sitting, drinking water, and object picking. The system employs Artificial Intelligence and Deep Learning techniques with a larger and more diverse dataset to improve accuracy, robustness, and generalization under different environmental conditions, including low-light and partial occlusion scenarios. In addition, an AI-based Fall Detection module detects accidental falls in real time and automatically generates emergency alerts through SMS, email, mobile notifications, or alarms, enabling immediate assistance from caregivers or family members.</w:t>
            </w:r>
          </w:p>
          <w:p>
            <w:pPr>
              <w:spacing w:before="80" w:after="120" w:line="276" w:lineRule="auto"/>
              <w:jc w:val="both"/>
            </w:pPr>
            <w:r>
              <w:rPr>
                <w:rFonts w:ascii="Calibri" w:hAnsi="Calibri"/>
                <w:color w:val="262626"/>
                <w:sz w:val="20"/>
              </w:rPr>
              <w:t>The proposed system provides reliable real-time healthcare monitoring, enhances user safety, improves activity recognition performance, and offers a practical, scalable, and intelligent solution for elderly care, smart homes, and other real-world monitoring applications.</w:t>
            </w:r>
          </w:p>
          <w:p>
            <w:pPr>
              <w:spacing w:before="160" w:after="0"/>
            </w:pPr>
            <w:r>
              <w:rPr>
                <w:rFonts w:ascii="Calibri" w:hAnsi="Calibri"/>
                <w:b/>
                <w:color w:val="1B365D"/>
                <w:sz w:val="19"/>
              </w:rPr>
              <w:t xml:space="preserve">Keywords: </w:t>
            </w:r>
            <w:r>
              <w:rPr>
                <w:rFonts w:ascii="Calibri" w:hAnsi="Calibri"/>
                <w:i/>
                <w:color w:val="262626"/>
                <w:sz w:val="19"/>
              </w:rPr>
              <w:t>Human Activity Recognition (HAR), Artificial Intelligence (AI), Deep Learning, Vision-Based Activity Recognition, Fall Detection, Emergency Alert System, Healthcare Monitoring, Elderly Care, Smart Homes.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Key Functional Modules</w:t>
      </w:r>
    </w:p>
    <w:p>
      <w:pPr>
        <w:pStyle w:val="ListBullet"/>
        <w:spacing w:before="20" w:after="40" w:line="276" w:lineRule="auto"/>
      </w:pPr>
      <w:r>
        <w:rPr>
          <w:rFonts w:ascii="Calibri" w:hAnsi="Calibri"/>
          <w:color w:val="262626"/>
          <w:sz w:val="20"/>
        </w:rPr>
        <w:t>Vision-Based Spatial-Temporal Pose Tracker: Extracts skeletal keypoints across video frames to classify routine daily living activities.</w:t>
      </w:r>
    </w:p>
    <w:p>
      <w:pPr>
        <w:pStyle w:val="ListBullet"/>
        <w:spacing w:before="20" w:after="40" w:line="276" w:lineRule="auto"/>
      </w:pPr>
      <w:r>
        <w:rPr>
          <w:rFonts w:ascii="Calibri" w:hAnsi="Calibri"/>
          <w:b/>
          <w:color w:val="262626"/>
          <w:sz w:val="20"/>
        </w:rPr>
        <w:t>Abnormal Motion &amp; Fall Impact Detector:</w:t>
      </w:r>
      <w:r>
        <w:rPr>
          <w:rFonts w:ascii="Calibri" w:hAnsi="Calibri"/>
          <w:color w:val="262626"/>
          <w:sz w:val="20"/>
        </w:rPr>
        <w:t xml:space="preserve"> Identifies abrupt downward velocity shifts, sudden aspect ratio changes, and prolonged ground inactivity.</w:t>
      </w:r>
    </w:p>
    <w:p>
      <w:pPr>
        <w:pStyle w:val="ListBullet"/>
        <w:spacing w:before="20" w:after="40" w:line="276" w:lineRule="auto"/>
      </w:pPr>
      <w:r>
        <w:rPr>
          <w:rFonts w:ascii="Calibri" w:hAnsi="Calibri"/>
          <w:color w:val="262626"/>
          <w:sz w:val="20"/>
        </w:rPr>
        <w:t>Multi-Channel Emergency Alert Dispatcher: Automatically triggers emergency phone calls, SMS broadcasts, and siren alarms to designated emergency contacts.</w:t>
      </w:r>
    </w:p>
    <w:p>
      <w:pPr>
        <w:pStyle w:val="ListBullet"/>
        <w:spacing w:before="20" w:after="40" w:line="276" w:lineRule="auto"/>
      </w:pPr>
      <w:r>
        <w:rPr>
          <w:rFonts w:ascii="Calibri" w:hAnsi="Calibri"/>
          <w:b/>
          <w:color w:val="262626"/>
          <w:sz w:val="20"/>
        </w:rPr>
        <w:t>Robustness Adaptations:</w:t>
      </w:r>
      <w:r>
        <w:rPr>
          <w:rFonts w:ascii="Calibri" w:hAnsi="Calibri"/>
          <w:color w:val="262626"/>
          <w:sz w:val="20"/>
        </w:rPr>
        <w:t xml:space="preserve"> Features enhanced contrast normalization to maintain high detection accuracy in low-light and occluded environments.</w:t>
      </w:r>
    </w:p>
    <w:p>
      <w:pPr>
        <w:spacing w:before="160" w:after="40"/>
      </w:pPr>
      <w:r>
        <w:rPr>
          <w:rFonts w:ascii="Calibri" w:hAnsi="Calibri"/>
          <w:b/>
          <w:color w:val="2E75B6"/>
          <w:sz w:val="22"/>
        </w:rPr>
        <w:t>Target Domains</w:t>
      </w:r>
    </w:p>
    <w:p>
      <w:pPr>
        <w:spacing w:before="40" w:after="80" w:line="276" w:lineRule="auto"/>
        <w:jc w:val="both"/>
      </w:pPr>
      <w:r>
        <w:rPr>
          <w:rFonts w:ascii="Calibri" w:hAnsi="Calibri"/>
          <w:color w:val="262626"/>
          <w:sz w:val="20"/>
        </w:rPr>
        <w:t>Senior living facilities, hospital rehabilitation wards, smart home independent living systems.</w:t>
      </w:r>
    </w:p>
    <w:p>
      <w:r>
        <w:br w:type="page"/>
      </w:r>
    </w:p>
    <w:p>
      <w:pPr>
        <w:spacing w:before="80" w:after="40"/>
      </w:pPr>
      <w:r>
        <w:rPr>
          <w:rFonts w:ascii="Calibri" w:hAnsi="Calibri"/>
          <w:b/>
          <w:color w:val="2E75B6"/>
          <w:sz w:val="22"/>
        </w:rPr>
        <w:t>PROJECT #07 — BATCH NO: B-09</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TalentTrack: AI-Powered Placement Readiness Platform with Integrated Coding Evaluation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B-09</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EdTech, Artificial Intelligence &amp; Full-Stack Web Engineering (MERN)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B9.docx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Mrs. Ch. Gayathri (Assistant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Kodavath Vamshi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23K91A6790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Kartik Shukla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23K91A6789</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Odeti Thirupathi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23K91A67C9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Markundhi Bhavani Prasad</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23K91A67A2</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Campus recruitment plays a vital role in helping students transition from academics to professional careers. However, traditional placement systems mainly focus on conducting recruitment drives and often lack continuous skill assessment, performance tracking, and personalized guidance. To address these challenges, TalentTrack: AI-Powered Placement Readiness Platform with Integrated Coding Evaluation is proposed as an intelligent web-based platform developed using the MERN Stack (MongoDB, Express.js, React.js, and Node.js). The platform provides a centralized environment where students, placement officers, and recruiters can effectively participate in the placement process.</w:t>
            </w:r>
          </w:p>
          <w:p>
            <w:pPr>
              <w:spacing w:before="80" w:after="120" w:line="276" w:lineRule="auto"/>
              <w:jc w:val="both"/>
            </w:pPr>
            <w:r>
              <w:rPr>
                <w:rFonts w:ascii="Calibri" w:hAnsi="Calibri"/>
                <w:color w:val="262626"/>
                <w:sz w:val="20"/>
              </w:rPr>
              <w:t>The system offers aptitude, coding, and technical practice modules with automated evaluation, leaderboards, and regular coding contests to improve student skills. Based on their performance, students progress through multiple evaluation levels and participate in expert-led mock interviews before becoming placement-ready. The platform also integrates AI-powered resume analysis and an intelligent chatbot that provides personalized guidance, answers placement-related queries, and helps students improve their employability. Recruiters can create recruitment drives, define eligibility criteria, and efficiently shortlist candidates based on their skills and assessment performance.</w:t>
            </w:r>
          </w:p>
          <w:p>
            <w:pPr>
              <w:spacing w:before="80" w:after="120" w:line="276" w:lineRule="auto"/>
              <w:jc w:val="both"/>
            </w:pPr>
            <w:r>
              <w:rPr>
                <w:rFonts w:ascii="Calibri" w:hAnsi="Calibri"/>
                <w:color w:val="262626"/>
                <w:sz w:val="20"/>
              </w:rPr>
              <w:t>By integrating modern web technologies with artificial intelligence, TalentTrack simplifies campus recruitment while promoting continuous learning and skill development. The platform enables placement officers to monitor student progress through analytics and performance dashboards, helping them make informed decisions.</w:t>
            </w:r>
          </w:p>
          <w:p>
            <w:pPr>
              <w:spacing w:before="160" w:after="0"/>
            </w:pPr>
            <w:r>
              <w:rPr>
                <w:rFonts w:ascii="Calibri" w:hAnsi="Calibri"/>
                <w:b/>
                <w:color w:val="1B365D"/>
                <w:sz w:val="19"/>
              </w:rPr>
              <w:t xml:space="preserve">Keywords: </w:t>
            </w:r>
            <w:r>
              <w:rPr>
                <w:rFonts w:ascii="Calibri" w:hAnsi="Calibri"/>
                <w:i/>
                <w:color w:val="262626"/>
                <w:sz w:val="19"/>
              </w:rPr>
              <w:t>TalentTrack, Placement Readiness, Coding Assessment, Automated Code Execution, Leaderboards, AI Resume Parsing, MERN Stack, Mock Interview Engine.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MERN Stack &amp; AI System Architecture</w:t>
      </w:r>
    </w:p>
    <w:p>
      <w:pPr>
        <w:pStyle w:val="ListBullet"/>
        <w:spacing w:before="20" w:after="40" w:line="276" w:lineRule="auto"/>
      </w:pPr>
      <w:r>
        <w:rPr>
          <w:rFonts w:ascii="Calibri" w:hAnsi="Calibri"/>
          <w:b/>
          <w:color w:val="262626"/>
          <w:sz w:val="20"/>
        </w:rPr>
        <w:t xml:space="preserve">Frontend: </w:t>
      </w:r>
      <w:r>
        <w:rPr>
          <w:rFonts w:ascii="Calibri" w:hAnsi="Calibri"/>
          <w:color w:val="262626"/>
          <w:sz w:val="20"/>
        </w:rPr>
        <w:t>React.js with Tailwind CSS &amp; CodeMirror IDE Editor</w:t>
      </w:r>
    </w:p>
    <w:p>
      <w:pPr>
        <w:pStyle w:val="ListBullet"/>
        <w:spacing w:before="20" w:after="40" w:line="276" w:lineRule="auto"/>
      </w:pPr>
      <w:r>
        <w:rPr>
          <w:rFonts w:ascii="Calibri" w:hAnsi="Calibri"/>
          <w:b/>
          <w:color w:val="262626"/>
          <w:sz w:val="20"/>
        </w:rPr>
        <w:t xml:space="preserve">Backend: </w:t>
      </w:r>
      <w:r>
        <w:rPr>
          <w:rFonts w:ascii="Calibri" w:hAnsi="Calibri"/>
          <w:color w:val="262626"/>
          <w:sz w:val="20"/>
        </w:rPr>
        <w:t>Node.js &amp; Express.js REST API</w:t>
      </w:r>
    </w:p>
    <w:p>
      <w:pPr>
        <w:pStyle w:val="ListBullet"/>
        <w:spacing w:before="20" w:after="40" w:line="276" w:lineRule="auto"/>
      </w:pPr>
      <w:r>
        <w:rPr>
          <w:rFonts w:ascii="Calibri" w:hAnsi="Calibri"/>
          <w:b/>
          <w:color w:val="262626"/>
          <w:sz w:val="20"/>
        </w:rPr>
        <w:t xml:space="preserve">Database Engine: </w:t>
      </w:r>
      <w:r>
        <w:rPr>
          <w:rFonts w:ascii="Calibri" w:hAnsi="Calibri"/>
          <w:color w:val="262626"/>
          <w:sz w:val="20"/>
        </w:rPr>
        <w:t>MongoDB for flexible candidate profiles, test logs, and coding submissions</w:t>
      </w:r>
    </w:p>
    <w:p>
      <w:pPr>
        <w:pStyle w:val="ListBullet"/>
        <w:spacing w:before="20" w:after="40" w:line="276" w:lineRule="auto"/>
      </w:pPr>
      <w:r>
        <w:rPr>
          <w:rFonts w:ascii="Calibri" w:hAnsi="Calibri"/>
          <w:b/>
          <w:color w:val="262626"/>
          <w:sz w:val="20"/>
        </w:rPr>
        <w:t xml:space="preserve">Sandboxed Code Runner: </w:t>
      </w:r>
      <w:r>
        <w:rPr>
          <w:rFonts w:ascii="Calibri" w:hAnsi="Calibri"/>
          <w:color w:val="262626"/>
          <w:sz w:val="20"/>
        </w:rPr>
        <w:t>Isolated Docker container environment for secure multi-language code compilation (C, C++, Java, Python)</w:t>
      </w:r>
    </w:p>
    <w:p>
      <w:pPr>
        <w:pStyle w:val="ListBullet"/>
        <w:spacing w:before="20" w:after="40" w:line="276" w:lineRule="auto"/>
      </w:pPr>
      <w:r>
        <w:rPr>
          <w:rFonts w:ascii="Calibri" w:hAnsi="Calibri"/>
          <w:b/>
          <w:color w:val="262626"/>
          <w:sz w:val="20"/>
        </w:rPr>
        <w:t xml:space="preserve">AI Module: </w:t>
      </w:r>
      <w:r>
        <w:rPr>
          <w:rFonts w:ascii="Calibri" w:hAnsi="Calibri"/>
          <w:color w:val="262626"/>
          <w:sz w:val="20"/>
        </w:rPr>
        <w:t>LLM-driven Resume Scorer matching CV keywords with Recruiter Job Descriptions</w:t>
      </w:r>
    </w:p>
    <w:p>
      <w:pPr>
        <w:spacing w:before="160" w:after="40"/>
      </w:pPr>
      <w:r>
        <w:rPr>
          <w:rFonts w:ascii="Calibri" w:hAnsi="Calibri"/>
          <w:b/>
          <w:color w:val="2E75B6"/>
          <w:sz w:val="22"/>
        </w:rPr>
        <w:t>Features</w:t>
      </w:r>
    </w:p>
    <w:p>
      <w:pPr>
        <w:spacing w:before="40" w:after="80" w:line="276" w:lineRule="auto"/>
        <w:jc w:val="both"/>
      </w:pPr>
      <w:r>
        <w:rPr>
          <w:rFonts w:ascii="Calibri" w:hAnsi="Calibri"/>
          <w:color w:val="262626"/>
          <w:sz w:val="20"/>
        </w:rPr>
        <w:t>Gamified coding leaderboards, live mock interview evaluations, multi-tier placement eligibility tests, and recruiter analytics.</w:t>
      </w:r>
    </w:p>
    <w:p>
      <w:r>
        <w:br w:type="page"/>
      </w:r>
    </w:p>
    <w:p>
      <w:pPr>
        <w:spacing w:before="80" w:after="40"/>
      </w:pPr>
      <w:r>
        <w:rPr>
          <w:rFonts w:ascii="Calibri" w:hAnsi="Calibri"/>
          <w:b/>
          <w:color w:val="2E75B6"/>
          <w:sz w:val="22"/>
        </w:rPr>
        <w:t>PROJECT #08 — BATCH NO: B-10</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Hybrid Chaotic Lightweight Image Encryption for Secure UAV Transmission: Wavelet and XOR-Diffusion Approach</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B-10</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Image Cryptography &amp; UAV Wireless Communications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B10.docx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Dr. M. SANDHYA RANI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NALLA NIKHILESHWAR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23K91A67C5</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NUTHANAGANTI DIVYAJYOTHI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23K91A67C8</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GUNJULURI SHAILAJA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23K91A6771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MOKKA PHANEENDHAR GOUD</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23K91A67B8</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secure transmission of digital images has become a critical requirement in modern UAV communication systems due to the increasing risk of cyber threats targeting sensitive visual information. Images transmitted over wireless communication channels are vulnerable to interception, modification, statistical attacks, differential attacks, and unauthorized access. Existing encryption techniques often provide strong security but may involve high computational complexity, making them less suitable for real-time image transmission.</w:t>
            </w:r>
          </w:p>
          <w:p>
            <w:pPr>
              <w:spacing w:before="80" w:after="120" w:line="276" w:lineRule="auto"/>
              <w:jc w:val="both"/>
            </w:pPr>
            <w:r>
              <w:rPr>
                <w:rFonts w:ascii="Calibri" w:hAnsi="Calibri"/>
                <w:color w:val="262626"/>
                <w:sz w:val="20"/>
              </w:rPr>
              <w:t>This project presents a Hybrid Chaotic Lightweight Image Encryption for Secure UAV Transmission using a Wavelet and XOR-Diffusion Approach, designed as a purely software-based encryption framework that combines computational efficiency with robust security. The proposed method employs the Discrete Wavelet Transform (DWT) to decompose the input image into multiple frequency components, enabling efficient image representation while preserving essential visual features. A chaotic map is utilized to generate highly unpredictable encryption keys, taking advantage of its randomness, nonlinearity, and extreme sensitivity to initial conditions. The generated chaotic keys are integrated with an XOR-based diffusion algorithm to perform pixel-level encryption, effectively reducing pixel correlation and increasing resistance against cryptographic attacks.</w:t>
            </w:r>
          </w:p>
          <w:p>
            <w:pPr>
              <w:spacing w:before="80" w:after="120" w:line="276" w:lineRule="auto"/>
              <w:jc w:val="both"/>
            </w:pPr>
            <w:r>
              <w:rPr>
                <w:rFonts w:ascii="Calibri" w:hAnsi="Calibri"/>
                <w:color w:val="262626"/>
                <w:sz w:val="20"/>
              </w:rPr>
              <w:t>The proposed encryption framework provides multiple security advantages, including a large key space, high information entropy, strong key sensitivity, low pixel correlation, and resistance to brute-force, statistical, differential, replay, and interception attacks.</w:t>
            </w:r>
          </w:p>
          <w:p>
            <w:pPr>
              <w:spacing w:before="160" w:after="0"/>
            </w:pPr>
            <w:r>
              <w:rPr>
                <w:rFonts w:ascii="Calibri" w:hAnsi="Calibri"/>
                <w:b/>
                <w:color w:val="1B365D"/>
                <w:sz w:val="19"/>
              </w:rPr>
              <w:t xml:space="preserve">Keywords: </w:t>
            </w:r>
            <w:r>
              <w:rPr>
                <w:rFonts w:ascii="Calibri" w:hAnsi="Calibri"/>
                <w:i/>
                <w:color w:val="262626"/>
                <w:sz w:val="19"/>
              </w:rPr>
              <w:t>Lightweight Image Encryption, UAV Secure Communications, Discrete Wavelet Transform (DWT), Chaotic Maps, XOR Diffusion, Information Entropy, NPCR, UACI, Low-Latency Cryptography.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Cryptographic Framework Modules</w:t>
      </w:r>
    </w:p>
    <w:p>
      <w:pPr>
        <w:pStyle w:val="ListBullet"/>
        <w:spacing w:before="20" w:after="40" w:line="276" w:lineRule="auto"/>
      </w:pPr>
      <w:r>
        <w:rPr>
          <w:rFonts w:ascii="Calibri" w:hAnsi="Calibri"/>
          <w:b/>
          <w:color w:val="262626"/>
          <w:sz w:val="20"/>
        </w:rPr>
        <w:t>DWT Sub-band Decomposition:</w:t>
      </w:r>
      <w:r>
        <w:rPr>
          <w:rFonts w:ascii="Calibri" w:hAnsi="Calibri"/>
          <w:color w:val="262626"/>
          <w:sz w:val="20"/>
        </w:rPr>
        <w:t xml:space="preserve"> Deconstructs raw drone telemetry images into LL, LH, HL, and HH wavelet coefficients.</w:t>
      </w:r>
    </w:p>
    <w:p>
      <w:pPr>
        <w:pStyle w:val="ListBullet"/>
        <w:spacing w:before="20" w:after="40" w:line="276" w:lineRule="auto"/>
      </w:pPr>
      <w:r>
        <w:rPr>
          <w:rFonts w:ascii="Calibri" w:hAnsi="Calibri"/>
          <w:b/>
          <w:color w:val="262626"/>
          <w:sz w:val="20"/>
        </w:rPr>
        <w:t>Nonlinear Chaotic Key Generator:</w:t>
      </w:r>
      <w:r>
        <w:rPr>
          <w:rFonts w:ascii="Calibri" w:hAnsi="Calibri"/>
          <w:color w:val="262626"/>
          <w:sz w:val="20"/>
        </w:rPr>
        <w:t xml:space="preserve"> Employs chaotic maps (Logistic/Arnold Cat/Henon) to generate pseudo-random keystreams exhibiting extreme sensitivity to initial seeds.</w:t>
      </w:r>
    </w:p>
    <w:p>
      <w:pPr>
        <w:pStyle w:val="ListBullet"/>
        <w:spacing w:before="20" w:after="40" w:line="276" w:lineRule="auto"/>
      </w:pPr>
      <w:r>
        <w:rPr>
          <w:rFonts w:ascii="Calibri" w:hAnsi="Calibri"/>
          <w:b/>
          <w:color w:val="262626"/>
          <w:sz w:val="20"/>
        </w:rPr>
        <w:t>Pixel-Level XOR Diffusion:</w:t>
      </w:r>
      <w:r>
        <w:rPr>
          <w:rFonts w:ascii="Calibri" w:hAnsi="Calibri"/>
          <w:color w:val="262626"/>
          <w:sz w:val="20"/>
        </w:rPr>
        <w:t xml:space="preserve"> Shuffles and diffuses pixel intensities to obliterate spatial correlations and render image histograms completely uniform.</w:t>
      </w:r>
    </w:p>
    <w:p>
      <w:pPr>
        <w:spacing w:before="160" w:after="40"/>
      </w:pPr>
      <w:r>
        <w:rPr>
          <w:rFonts w:ascii="Calibri" w:hAnsi="Calibri"/>
          <w:b/>
          <w:color w:val="2E75B6"/>
          <w:sz w:val="22"/>
        </w:rPr>
        <w:t>Security Benchmarks Evaluated</w:t>
      </w:r>
    </w:p>
    <w:p>
      <w:pPr>
        <w:spacing w:before="40" w:after="80" w:line="276" w:lineRule="auto"/>
        <w:jc w:val="both"/>
      </w:pPr>
      <w:r>
        <w:rPr>
          <w:rFonts w:ascii="Calibri" w:hAnsi="Calibri"/>
          <w:color w:val="262626"/>
          <w:sz w:val="20"/>
        </w:rPr>
        <w:t>Information Entropy (~7.999 bits/pixel), Number of Pixels Change Rate (NPCR &gt; 99.6%), Unified Average Changing Intensity (UACI ~ 33.4%), Peak Signal-to-Noise Ratio (PSNR), and sub-millisecond execution times.</w:t>
      </w:r>
    </w:p>
    <w:p>
      <w:r>
        <w:br w:type="page"/>
      </w:r>
    </w:p>
    <w:p>
      <w:pPr>
        <w:spacing w:before="80" w:after="40"/>
      </w:pPr>
      <w:r>
        <w:rPr>
          <w:rFonts w:ascii="Calibri" w:hAnsi="Calibri"/>
          <w:b/>
          <w:color w:val="2E75B6"/>
          <w:sz w:val="22"/>
        </w:rPr>
        <w:t>PROJECT #09 — BATCH NO: B-13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API SECURITY PLATFORM FOR PAYMENT APPLICATIONS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FinTech API Security &amp; Automated Vulnerability Assessment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B13.docx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Application Programming Interfaces (APIs) are the backbone of modern UPI and digital payment applications, enabling secure communication between users, banks, and payment services. As the use of online payment systems continues to grow, APIs have become a common target for cyberattacks.</w:t>
            </w:r>
          </w:p>
          <w:p>
            <w:pPr>
              <w:spacing w:before="80" w:after="120" w:line="276" w:lineRule="auto"/>
              <w:jc w:val="both"/>
            </w:pPr>
            <w:r>
              <w:rPr>
                <w:rFonts w:ascii="Calibri" w:hAnsi="Calibri"/>
                <w:color w:val="262626"/>
                <w:sz w:val="20"/>
              </w:rPr>
              <w:t>This project develops an automated API security testing tool that scans REST APIs for vulnerabilities based on the OWASP API Security Top 10. It detects common security issues such as broken authentication, unauthorized access (BOLA/IDOR), excessive data exposure, and rate-limiting weaknesses. The tool generates a detailed security report along with an API security score and recommendations to help developers improve the security of payment applications before deployment.</w:t>
            </w:r>
          </w:p>
          <w:p>
            <w:pPr>
              <w:spacing w:before="80" w:after="120" w:line="276" w:lineRule="auto"/>
              <w:jc w:val="both"/>
            </w:pPr>
            <w:r>
              <w:rPr>
                <w:rFonts w:ascii="Calibri" w:hAnsi="Calibri"/>
                <w:color w:val="262626"/>
                <w:sz w:val="20"/>
              </w:rPr>
              <w:t>Popular tools can identify API vulnerabilities, but they often require skilled security professionals, significant manual effort, and expensive licenses. As a result, vulnerabilities such as broken authentication, unauthorized access (BOLA/IDOR), and excessive data exposure may remain undetected before deployment. This highlights the need for a simple, automated, and cost-effective API security testing solution. The proposed tool scans REST API endpoints to find common problems like weak login security, unauthorized access, too much data exposure, rate limit issues, and injection attacks.</w:t>
            </w:r>
          </w:p>
          <w:p>
            <w:pPr>
              <w:spacing w:before="160" w:after="0"/>
            </w:pPr>
            <w:r>
              <w:rPr>
                <w:rFonts w:ascii="Calibri" w:hAnsi="Calibri"/>
                <w:b/>
                <w:color w:val="1B365D"/>
                <w:sz w:val="19"/>
              </w:rPr>
              <w:t xml:space="preserve">Keywords: </w:t>
            </w:r>
            <w:r>
              <w:rPr>
                <w:rFonts w:ascii="Calibri" w:hAnsi="Calibri"/>
                <w:i/>
                <w:color w:val="262626"/>
                <w:sz w:val="19"/>
              </w:rPr>
              <w:t>API Security Testing, OWASP API Top 10, UPI Payment Security, Broken Object Level Authorization (BOLA/IDOR), Broken Authentication, Rate Limiting, Vulnerability Assessment.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OWASP API Vulnerability Coverage</w:t>
      </w:r>
    </w:p>
    <w:p>
      <w:pPr>
        <w:pStyle w:val="ListBullet"/>
        <w:spacing w:before="20" w:after="40" w:line="276" w:lineRule="auto"/>
      </w:pPr>
      <w:r>
        <w:rPr>
          <w:rFonts w:ascii="Calibri" w:hAnsi="Calibri"/>
          <w:b/>
          <w:color w:val="262626"/>
          <w:sz w:val="20"/>
        </w:rPr>
        <w:t>API1:</w:t>
      </w:r>
      <w:r>
        <w:rPr>
          <w:rFonts w:ascii="Calibri" w:hAnsi="Calibri"/>
          <w:color w:val="262626"/>
          <w:sz w:val="20"/>
        </w:rPr>
        <w:t xml:space="preserve"> Broken Object Level Authorization (BOLA / IDOR): Tests parameter tampering on account and transaction IDs.</w:t>
      </w:r>
    </w:p>
    <w:p>
      <w:pPr>
        <w:pStyle w:val="ListBullet"/>
        <w:spacing w:before="20" w:after="40" w:line="276" w:lineRule="auto"/>
      </w:pPr>
      <w:r>
        <w:rPr>
          <w:rFonts w:ascii="Calibri" w:hAnsi="Calibri"/>
          <w:b/>
          <w:color w:val="262626"/>
          <w:sz w:val="20"/>
        </w:rPr>
        <w:t>API2:</w:t>
      </w:r>
      <w:r>
        <w:rPr>
          <w:rFonts w:ascii="Calibri" w:hAnsi="Calibri"/>
          <w:color w:val="262626"/>
          <w:sz w:val="20"/>
        </w:rPr>
        <w:t xml:space="preserve"> Broken Authentication: Scans for token leakage, weak signature verification, and missing expiration.</w:t>
      </w:r>
    </w:p>
    <w:p>
      <w:pPr>
        <w:pStyle w:val="ListBullet"/>
        <w:spacing w:before="20" w:after="40" w:line="276" w:lineRule="auto"/>
      </w:pPr>
      <w:r>
        <w:rPr>
          <w:rFonts w:ascii="Calibri" w:hAnsi="Calibri"/>
          <w:b/>
          <w:color w:val="262626"/>
          <w:sz w:val="20"/>
        </w:rPr>
        <w:t>API3:</w:t>
      </w:r>
      <w:r>
        <w:rPr>
          <w:rFonts w:ascii="Calibri" w:hAnsi="Calibri"/>
          <w:color w:val="262626"/>
          <w:sz w:val="20"/>
        </w:rPr>
        <w:t xml:space="preserve"> Broken Object Property Level Authorization / Excessive Data Exposure: Detects sensitive PII and account balances in responses.</w:t>
      </w:r>
    </w:p>
    <w:p>
      <w:pPr>
        <w:pStyle w:val="ListBullet"/>
        <w:spacing w:before="20" w:after="40" w:line="276" w:lineRule="auto"/>
      </w:pPr>
      <w:r>
        <w:rPr>
          <w:rFonts w:ascii="Calibri" w:hAnsi="Calibri"/>
          <w:b/>
          <w:color w:val="262626"/>
          <w:sz w:val="20"/>
        </w:rPr>
        <w:t>API4:</w:t>
      </w:r>
      <w:r>
        <w:rPr>
          <w:rFonts w:ascii="Calibri" w:hAnsi="Calibri"/>
          <w:color w:val="262626"/>
          <w:sz w:val="20"/>
        </w:rPr>
        <w:t xml:space="preserve"> Unrestricted Resource Consumption: Tests rate limiting and DoS resistance on OTP and transfer endpoints.</w:t>
      </w:r>
    </w:p>
    <w:p>
      <w:pPr>
        <w:pStyle w:val="ListBullet"/>
        <w:spacing w:before="20" w:after="40" w:line="276" w:lineRule="auto"/>
      </w:pPr>
      <w:r>
        <w:rPr>
          <w:rFonts w:ascii="Calibri" w:hAnsi="Calibri"/>
          <w:b/>
          <w:color w:val="262626"/>
          <w:sz w:val="20"/>
        </w:rPr>
        <w:t>API8:</w:t>
      </w:r>
      <w:r>
        <w:rPr>
          <w:rFonts w:ascii="Calibri" w:hAnsi="Calibri"/>
          <w:color w:val="262626"/>
          <w:sz w:val="20"/>
        </w:rPr>
        <w:t xml:space="preserve"> Security Misconfiguration &amp; Injection: Flags verbose stack traces and SQLi/NoSQLi patterns.</w:t>
      </w:r>
    </w:p>
    <w:p>
      <w:pPr>
        <w:spacing w:before="160" w:after="40"/>
      </w:pPr>
      <w:r>
        <w:rPr>
          <w:rFonts w:ascii="Calibri" w:hAnsi="Calibri"/>
          <w:b/>
          <w:color w:val="2E75B6"/>
          <w:sz w:val="22"/>
        </w:rPr>
        <w:t>Outcome</w:t>
      </w:r>
    </w:p>
    <w:p>
      <w:pPr>
        <w:spacing w:before="40" w:after="80" w:line="276" w:lineRule="auto"/>
        <w:jc w:val="both"/>
      </w:pPr>
      <w:r>
        <w:rPr>
          <w:rFonts w:ascii="Calibri" w:hAnsi="Calibri"/>
          <w:color w:val="262626"/>
          <w:sz w:val="20"/>
        </w:rPr>
        <w:t>Automated security scorecard and actionable developer remediation patches before moving fintech code to production.</w:t>
      </w:r>
    </w:p>
    <w:p>
      <w:r>
        <w:br w:type="page"/>
      </w:r>
    </w:p>
    <w:p>
      <w:pPr>
        <w:spacing w:before="80" w:after="40"/>
      </w:pPr>
      <w:r>
        <w:rPr>
          <w:rFonts w:ascii="Calibri" w:hAnsi="Calibri"/>
          <w:b/>
          <w:color w:val="2E75B6"/>
          <w:sz w:val="22"/>
        </w:rPr>
        <w:t>PROJECT #10 — BATCH NO: B-14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AQUAVISION: AI-POWERED SMART WATER DISTRIBUTION AND QUALITY INTELLIGENCE PLATFORM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Environmental Data Science, Machine Learning &amp; Smart Urban Infrastructure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B14.docx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Access to safe and reliable water remains a critical challenge for public health and sustainable urban development. Existing water quality management systems, such as ensemble machine learning-based potability prediction models combined with real-time dashboards, have demonstrated high accuracy in classifying water as potable or non-potable using physicochemical parameters like pH, BOD, TDS, and coliform counts. However, these systems suffer from notable limitations: they rely on relatively small, region-specific datasets that limit generalizability across geographies; they primarily focus on potability classification alone, without addressing broader distribution-network issues such as leakage detection or supply optimization; and most real-time monitoring frameworks depend heavily on IoT sensor networks, which increase deployment cost, maintenance overhead, and infrastructure complexity, making them less feasible for resource-constrained or rural regions.</w:t>
            </w:r>
          </w:p>
          <w:p>
            <w:pPr>
              <w:spacing w:before="80" w:after="120" w:line="276" w:lineRule="auto"/>
              <w:jc w:val="both"/>
            </w:pPr>
            <w:r>
              <w:rPr>
                <w:rFonts w:ascii="Calibri" w:hAnsi="Calibri"/>
                <w:color w:val="262626"/>
                <w:sz w:val="20"/>
              </w:rPr>
              <w:t>This work proposes an integrated water management framework that extends beyond potability prediction to address these gaps. The system incorporates a water leakage detection module that identifies pipeline losses using indirect data-driven techniques rather than dedicated IoT flow sensors, reducing hardware dependency. It further integrates automated water quality checking using ensemble machine learning models to continuously assess potability from periodically collected samples. Finally, the framework introduces a smart water distribution mechanism that optimizes supply allocation based on predicted demand, quality status, and detected leakage points, all without relying on continuous IoT sensor streams.</w:t>
            </w:r>
          </w:p>
          <w:p>
            <w:pPr>
              <w:spacing w:before="160" w:after="0"/>
            </w:pPr>
            <w:r>
              <w:rPr>
                <w:rFonts w:ascii="Calibri" w:hAnsi="Calibri"/>
                <w:b/>
                <w:color w:val="1B365D"/>
                <w:sz w:val="19"/>
              </w:rPr>
              <w:t xml:space="preserve">Keywords: </w:t>
            </w:r>
            <w:r>
              <w:rPr>
                <w:rFonts w:ascii="Calibri" w:hAnsi="Calibri"/>
                <w:i/>
                <w:color w:val="262626"/>
                <w:sz w:val="19"/>
              </w:rPr>
              <w:t>AquaVision, Smart Water Distribution, Potability Classification, Ensemble Machine Learning, Pipeline Leakage Detection, Sensor-Light Water Management, Environmental Informatics.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Three Core Innovations</w:t>
      </w:r>
    </w:p>
    <w:p>
      <w:pPr>
        <w:pStyle w:val="ListBullet"/>
        <w:spacing w:before="20" w:after="40" w:line="276" w:lineRule="auto"/>
      </w:pPr>
      <w:r>
        <w:rPr>
          <w:rFonts w:ascii="Calibri" w:hAnsi="Calibri"/>
          <w:b/>
          <w:color w:val="262626"/>
          <w:sz w:val="20"/>
        </w:rPr>
        <w:t>Ensemble Water Potability Classifier:</w:t>
      </w:r>
      <w:r>
        <w:rPr>
          <w:rFonts w:ascii="Calibri" w:hAnsi="Calibri"/>
          <w:color w:val="262626"/>
          <w:sz w:val="20"/>
        </w:rPr>
        <w:t xml:space="preserve"> Combines Random Forest, Gradient Boosting, and SVM to predict water safety from chemical metrics (pH, TDS, Turbidity, Chloramines, Sulfates).</w:t>
      </w:r>
    </w:p>
    <w:p>
      <w:pPr>
        <w:pStyle w:val="ListBullet"/>
        <w:spacing w:before="20" w:after="40" w:line="276" w:lineRule="auto"/>
      </w:pPr>
      <w:r>
        <w:rPr>
          <w:rFonts w:ascii="Calibri" w:hAnsi="Calibri"/>
          <w:b/>
          <w:color w:val="262626"/>
          <w:sz w:val="20"/>
        </w:rPr>
        <w:t>Sensor-Light Pipeline Loss Detection:</w:t>
      </w:r>
      <w:r>
        <w:rPr>
          <w:rFonts w:ascii="Calibri" w:hAnsi="Calibri"/>
          <w:color w:val="262626"/>
          <w:sz w:val="20"/>
        </w:rPr>
        <w:t xml:space="preserve"> Utilizes pressure-drop mathematical models and consumption discrepancy analytics rather than costly inline flow meters.</w:t>
      </w:r>
    </w:p>
    <w:p>
      <w:pPr>
        <w:pStyle w:val="ListBullet"/>
        <w:spacing w:before="20" w:after="40" w:line="276" w:lineRule="auto"/>
      </w:pPr>
      <w:r>
        <w:rPr>
          <w:rFonts w:ascii="Calibri" w:hAnsi="Calibri"/>
          <w:b/>
          <w:color w:val="262626"/>
          <w:sz w:val="20"/>
        </w:rPr>
        <w:t>Demand-Driven Distribution Optimizer:</w:t>
      </w:r>
      <w:r>
        <w:rPr>
          <w:rFonts w:ascii="Calibri" w:hAnsi="Calibri"/>
          <w:color w:val="262626"/>
          <w:sz w:val="20"/>
        </w:rPr>
        <w:t xml:space="preserve"> Dynamically allocates reservoir water releases based on demographic population needs and pipeline integrity.</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Affordable, scalable smart water distribution designed for resource-constrained municipalities and rural water boards.</w:t>
      </w:r>
    </w:p>
    <w:p>
      <w:r>
        <w:br w:type="page"/>
      </w:r>
    </w:p>
    <w:p>
      <w:pPr>
        <w:spacing w:before="80" w:after="40"/>
      </w:pPr>
      <w:r>
        <w:rPr>
          <w:rFonts w:ascii="Calibri" w:hAnsi="Calibri"/>
          <w:b/>
          <w:color w:val="2E75B6"/>
          <w:sz w:val="22"/>
        </w:rPr>
        <w:t>PROJECT #11 — BATCH NO: B-15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AI-DRIVEN DISTRIBUTED OP BOOKING SYSTEM WITH INTELLIGENT DISEASE SEVERITY ANALYSIS AND DYNAMIC QUEUE POSITION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Healthcare Operations, Distributed Systems &amp; Artificial Intelligence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B15.docx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Mrs. J. Ashwini Reddy (Assistant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G. PRAVEEN KUMAR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23K91A6768</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K. AKSHAYA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23K91A6784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G. AKSHAYA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23K91A6767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N. DHEERAJ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23K91A67C4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Long waiting times and overcrowding during Outpatient (OP) registration remain major challenges in many hospitals. Patients often spend several hours waiting in queues to obtain an OP appointment, and due to the limited number of daily OP slots, many are unable to consult a doctor on the same day. This results in inconvenience, delayed treatment, and inefficient utilization of healthcare resources.</w:t>
            </w:r>
          </w:p>
          <w:p>
            <w:pPr>
              <w:spacing w:before="80" w:after="120" w:line="276" w:lineRule="auto"/>
              <w:jc w:val="both"/>
            </w:pPr>
            <w:r>
              <w:rPr>
                <w:rFonts w:ascii="Calibri" w:hAnsi="Calibri"/>
                <w:color w:val="262626"/>
                <w:sz w:val="20"/>
              </w:rPr>
              <w:t>To address these issues, this project proposes an AI-Driven Distributed OP Booking System with Intelligent Disease Severity Analysis, Dynamic Hospital Recommendation, and Secure Inter-Hospital Doctor Collaboration. The system enables patients to book OP appointments online by selecting hospitals within their district, eliminating the need for physical registration. Each hospital can configure a fixed number of OP appointments per day along with a reserved quota for emergency patients. Once the daily booking limit is reached, the system automatically schedules the appointment for the next available day.</w:t>
            </w:r>
          </w:p>
          <w:p>
            <w:pPr>
              <w:spacing w:before="80" w:after="120" w:line="276" w:lineRule="auto"/>
              <w:jc w:val="both"/>
            </w:pPr>
            <w:r>
              <w:rPr>
                <w:rFonts w:ascii="Calibri" w:hAnsi="Calibri"/>
                <w:color w:val="262626"/>
                <w:sz w:val="20"/>
              </w:rPr>
              <w:t>The proposed system employs Artificial Intelligence to analyze patient symptoms and predict disease severity by classifying cases as mild, moderate, severe, or critical. Based on the predicted severity, patient's location, medical specialty requirements, and hospital availability, the system dynamically recommends the most appropriate hospital. A distributed hospital network facilitates secure collaboration among doctors across multiple hospitals, enabling electronic patient referrals and secure sharing of medical records whenever specialized consultation is required. Additionally, a dynamic queue management module continuously updates patient queue positions and estimated waiting times.</w:t>
            </w:r>
          </w:p>
          <w:p>
            <w:pPr>
              <w:spacing w:before="160" w:after="0"/>
            </w:pPr>
            <w:r>
              <w:rPr>
                <w:rFonts w:ascii="Calibri" w:hAnsi="Calibri"/>
                <w:b/>
                <w:color w:val="1B365D"/>
                <w:sz w:val="19"/>
              </w:rPr>
              <w:t xml:space="preserve">Keywords: </w:t>
            </w:r>
            <w:r>
              <w:rPr>
                <w:rFonts w:ascii="Calibri" w:hAnsi="Calibri"/>
                <w:i/>
                <w:color w:val="262626"/>
                <w:sz w:val="19"/>
              </w:rPr>
              <w:t>Artificial Intelligence, OP Booking System, Disease Severity Prediction, Hospital Recommendation, Predictive Queue Management, Distributed Healthcare, Machine Learning, Secure Inter-Hospital Collaboration.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System Functionalities</w:t>
      </w:r>
    </w:p>
    <w:p>
      <w:pPr>
        <w:pStyle w:val="ListBullet"/>
        <w:spacing w:before="20" w:after="40" w:line="276" w:lineRule="auto"/>
      </w:pPr>
      <w:r>
        <w:rPr>
          <w:rFonts w:ascii="Calibri" w:hAnsi="Calibri"/>
          <w:b/>
          <w:color w:val="262626"/>
          <w:sz w:val="20"/>
        </w:rPr>
        <w:t>Distributed Regional Hospital Network:</w:t>
      </w:r>
      <w:r>
        <w:rPr>
          <w:rFonts w:ascii="Calibri" w:hAnsi="Calibri"/>
          <w:color w:val="262626"/>
          <w:sz w:val="20"/>
        </w:rPr>
        <w:t xml:space="preserve"> District-level multi-hospital bed and OP slot federation.</w:t>
      </w:r>
    </w:p>
    <w:p>
      <w:pPr>
        <w:pStyle w:val="ListBullet"/>
        <w:spacing w:before="20" w:after="40" w:line="276" w:lineRule="auto"/>
      </w:pPr>
      <w:r>
        <w:rPr>
          <w:rFonts w:ascii="Calibri" w:hAnsi="Calibri"/>
          <w:b/>
          <w:color w:val="262626"/>
          <w:sz w:val="20"/>
        </w:rPr>
        <w:t>AI Disease Severity Triager:</w:t>
      </w:r>
      <w:r>
        <w:rPr>
          <w:rFonts w:ascii="Calibri" w:hAnsi="Calibri"/>
          <w:color w:val="262626"/>
          <w:sz w:val="20"/>
        </w:rPr>
        <w:t xml:space="preserve"> NLP triage classifying symptoms into Mild, Moderate, Severe, or Critical urgency tiers.</w:t>
      </w:r>
    </w:p>
    <w:p>
      <w:pPr>
        <w:pStyle w:val="ListBullet"/>
        <w:spacing w:before="20" w:after="40" w:line="276" w:lineRule="auto"/>
      </w:pPr>
      <w:r>
        <w:rPr>
          <w:rFonts w:ascii="Calibri" w:hAnsi="Calibri"/>
          <w:b/>
          <w:color w:val="262626"/>
          <w:sz w:val="20"/>
        </w:rPr>
        <w:t>Smart Facility Matcher:</w:t>
      </w:r>
      <w:r>
        <w:rPr>
          <w:rFonts w:ascii="Calibri" w:hAnsi="Calibri"/>
          <w:color w:val="262626"/>
          <w:sz w:val="20"/>
        </w:rPr>
        <w:t xml:space="preserve"> Directs patients to facilities with matching clinical specialties and lowest wait times.</w:t>
      </w:r>
    </w:p>
    <w:p>
      <w:pPr>
        <w:pStyle w:val="ListBullet"/>
        <w:spacing w:before="20" w:after="40" w:line="276" w:lineRule="auto"/>
      </w:pPr>
      <w:r>
        <w:rPr>
          <w:rFonts w:ascii="Calibri" w:hAnsi="Calibri"/>
          <w:b/>
          <w:color w:val="262626"/>
          <w:sz w:val="20"/>
        </w:rPr>
        <w:t>Live Predictive Queue Telemetry:</w:t>
      </w:r>
      <w:r>
        <w:rPr>
          <w:rFonts w:ascii="Calibri" w:hAnsi="Calibri"/>
          <w:color w:val="262626"/>
          <w:sz w:val="20"/>
        </w:rPr>
        <w:t xml:space="preserve"> Mobile push notifications alerting outpatients to their exact queue position and departure time.</w:t>
      </w:r>
    </w:p>
    <w:p>
      <w:pPr>
        <w:pStyle w:val="ListBullet"/>
        <w:spacing w:before="20" w:after="40" w:line="276" w:lineRule="auto"/>
      </w:pPr>
      <w:r>
        <w:rPr>
          <w:rFonts w:ascii="Calibri" w:hAnsi="Calibri"/>
          <w:b/>
          <w:color w:val="262626"/>
          <w:sz w:val="20"/>
        </w:rPr>
        <w:t>Inter-Hospital Electronic Referrals:</w:t>
      </w:r>
      <w:r>
        <w:rPr>
          <w:rFonts w:ascii="Calibri" w:hAnsi="Calibri"/>
          <w:color w:val="262626"/>
          <w:sz w:val="20"/>
        </w:rPr>
        <w:t xml:space="preserve"> Secure doctor-to-doctor clinical record sharing.</w:t>
      </w:r>
    </w:p>
    <w:p>
      <w:pPr>
        <w:spacing w:before="160" w:after="40"/>
      </w:pPr>
      <w:r>
        <w:rPr>
          <w:rFonts w:ascii="Calibri" w:hAnsi="Calibri"/>
          <w:b/>
          <w:color w:val="2E75B6"/>
          <w:sz w:val="22"/>
        </w:rPr>
        <w:t>Clinical Outcomes</w:t>
      </w:r>
    </w:p>
    <w:p>
      <w:pPr>
        <w:spacing w:before="40" w:after="80" w:line="276" w:lineRule="auto"/>
        <w:jc w:val="both"/>
      </w:pPr>
      <w:r>
        <w:rPr>
          <w:rFonts w:ascii="Calibri" w:hAnsi="Calibri"/>
          <w:color w:val="262626"/>
          <w:sz w:val="20"/>
        </w:rPr>
        <w:t>Eliminates physical morning hospital registration queues, prevents specialist department overload, and prioritizes emergency cases.</w:t>
      </w:r>
    </w:p>
    <w:p>
      <w:r>
        <w:br w:type="page"/>
      </w:r>
    </w:p>
    <w:p>
      <w:pPr>
        <w:spacing w:before="80" w:after="40"/>
      </w:pPr>
      <w:r>
        <w:rPr>
          <w:rFonts w:ascii="Calibri" w:hAnsi="Calibri"/>
          <w:b/>
          <w:color w:val="2E75B6"/>
          <w:sz w:val="22"/>
        </w:rPr>
        <w:t>PROJECT #12 — BATCH NO: B-16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AUTOMATIC DETECTION OF DIABETIC RETINOPATHY USING HAAR WAVELET TRANSFORM AND LENET CNN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Medical Image Processing, Deep Learning &amp; Clinical Ophthalmology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B16.pdf (PDF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Mrs. S. Venkata Ramana (Assistant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L. Prathima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23K91A67A1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L. Sai Praneeth</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23K91A6799</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G. Yogishwar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23K91A6769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L. Sri Ram</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23K91A67A0</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Diabetic Retinopathy is one of the leading causes of vision impairment among diabetic patients, mainly because the disease progresses silently during its early stages. Early detection and regular screening are essential to prevent severe vision loss; however, manual diagnosis is often time-consuming and requires experienced ophthalmologists. With the advancement of deep learning and medical image analysis, automated retinal disease detection systems have become an effective support tool for clinical screening.</w:t>
            </w:r>
          </w:p>
          <w:p>
            <w:pPr>
              <w:spacing w:before="80" w:after="120" w:line="276" w:lineRule="auto"/>
              <w:jc w:val="both"/>
            </w:pPr>
            <w:r>
              <w:rPr>
                <w:rFonts w:ascii="Calibri" w:hAnsi="Calibri"/>
                <w:color w:val="262626"/>
                <w:sz w:val="20"/>
              </w:rPr>
              <w:t>This project proposes a deep learning–based system for detecting hypertensive and diabetic retinopathy from retinal fundus images using a hybrid approach that combines the Haar Wavelet Transform for enhanced feature extraction and the LeNet Convolutional Neural Network for accurate classification. The retinal images are preprocessed and resized to a uniform dimension before being used for model training and evaluation.</w:t>
            </w:r>
          </w:p>
          <w:p>
            <w:pPr>
              <w:spacing w:before="80" w:after="120" w:line="276" w:lineRule="auto"/>
              <w:jc w:val="both"/>
            </w:pPr>
            <w:r>
              <w:rPr>
                <w:rFonts w:ascii="Calibri" w:hAnsi="Calibri"/>
                <w:color w:val="262626"/>
                <w:sz w:val="20"/>
              </w:rPr>
              <w:t>In addition to retinal analysis, the system also evaluates heart disease risk using clinical parameters such as age, blood pressure, cholesterol level, and other relevant health factors. Since retinal blood vessels reflect systemic vascular conditions, changes in the retina can be associated with cardiovascular health.</w:t>
            </w:r>
          </w:p>
          <w:p>
            <w:pPr>
              <w:spacing w:before="160" w:after="0"/>
            </w:pPr>
            <w:r>
              <w:rPr>
                <w:rFonts w:ascii="Calibri" w:hAnsi="Calibri"/>
                <w:b/>
                <w:color w:val="1B365D"/>
                <w:sz w:val="19"/>
              </w:rPr>
              <w:t xml:space="preserve">Keywords: </w:t>
            </w:r>
            <w:r>
              <w:rPr>
                <w:rFonts w:ascii="Calibri" w:hAnsi="Calibri"/>
                <w:i/>
                <w:color w:val="262626"/>
                <w:sz w:val="19"/>
              </w:rPr>
              <w:t>Haar Wavelet, LeNet CNN, Deep Learning, Diabetic Retinopathy, Heart Disease Risk Prediction, Early Disease Detection, Retinal Fundus Screening.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Diagnostic Image &amp; Clinical Pipeline</w:t>
      </w:r>
    </w:p>
    <w:p>
      <w:pPr>
        <w:pStyle w:val="ListBullet"/>
        <w:spacing w:before="20" w:after="40" w:line="276" w:lineRule="auto"/>
      </w:pPr>
      <w:r>
        <w:rPr>
          <w:rFonts w:ascii="Calibri" w:hAnsi="Calibri"/>
          <w:color w:val="262626"/>
          <w:sz w:val="20"/>
        </w:rPr>
        <w:t>Image Preprocessing &amp; Fundus Normalization: CLAHE (Contrast Limited Adaptive Histogram Equalization) and green channel extraction.</w:t>
      </w:r>
    </w:p>
    <w:p>
      <w:pPr>
        <w:pStyle w:val="ListBullet"/>
        <w:spacing w:before="20" w:after="40" w:line="276" w:lineRule="auto"/>
      </w:pPr>
      <w:r>
        <w:rPr>
          <w:rFonts w:ascii="Calibri" w:hAnsi="Calibri"/>
          <w:color w:val="262626"/>
          <w:sz w:val="20"/>
        </w:rPr>
        <w:t>Haar Wavelet Transform Feature Extraction: Decomposes retinal blood vessel textures and microaneurysm patterns into spatial frequency sub-bands.</w:t>
      </w:r>
    </w:p>
    <w:p>
      <w:pPr>
        <w:pStyle w:val="ListBullet"/>
        <w:spacing w:before="20" w:after="40" w:line="276" w:lineRule="auto"/>
      </w:pPr>
      <w:r>
        <w:rPr>
          <w:rFonts w:ascii="Calibri" w:hAnsi="Calibri"/>
          <w:b/>
          <w:color w:val="262626"/>
          <w:sz w:val="20"/>
        </w:rPr>
        <w:t>LeNet CNN Deep Classification:</w:t>
      </w:r>
      <w:r>
        <w:rPr>
          <w:rFonts w:ascii="Calibri" w:hAnsi="Calibri"/>
          <w:color w:val="262626"/>
          <w:sz w:val="20"/>
        </w:rPr>
        <w:t xml:space="preserve"> Classifies severity across No DR, Mild, Moderate, Severe, and Proliferative Diabetic Retinopathy.</w:t>
      </w:r>
    </w:p>
    <w:p>
      <w:pPr>
        <w:pStyle w:val="ListBullet"/>
        <w:spacing w:before="20" w:after="40" w:line="276" w:lineRule="auto"/>
      </w:pPr>
      <w:r>
        <w:rPr>
          <w:rFonts w:ascii="Calibri" w:hAnsi="Calibri"/>
          <w:b/>
          <w:color w:val="262626"/>
          <w:sz w:val="20"/>
        </w:rPr>
        <w:t>Systemic Cardiovascular Risk Estimator:</w:t>
      </w:r>
      <w:r>
        <w:rPr>
          <w:rFonts w:ascii="Calibri" w:hAnsi="Calibri"/>
          <w:color w:val="262626"/>
          <w:sz w:val="20"/>
        </w:rPr>
        <w:t xml:space="preserve"> Evaluates retinal arteriolar narrowing and clinical biomarkers to assess concurrent cardiovascular disease risk.</w:t>
      </w:r>
    </w:p>
    <w:p>
      <w:pPr>
        <w:spacing w:before="160" w:after="40"/>
      </w:pPr>
      <w:r>
        <w:rPr>
          <w:rFonts w:ascii="Calibri" w:hAnsi="Calibri"/>
          <w:b/>
          <w:color w:val="2E75B6"/>
          <w:sz w:val="22"/>
        </w:rPr>
        <w:t>Clinical Impact</w:t>
      </w:r>
    </w:p>
    <w:p>
      <w:pPr>
        <w:spacing w:before="40" w:after="80" w:line="276" w:lineRule="auto"/>
        <w:jc w:val="both"/>
      </w:pPr>
      <w:r>
        <w:rPr>
          <w:rFonts w:ascii="Calibri" w:hAnsi="Calibri"/>
          <w:color w:val="262626"/>
          <w:sz w:val="20"/>
        </w:rPr>
        <w:t>Enables rapid, accessible non-mydriatic retinal screening at primary health centers to prevent preventable blindness.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