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B-04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UPI Guardian: AI-Based Adaptive Fraud Prevention Framework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FinTech Security, Machine Learning &amp; Payment Fraud Prevention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B4.docx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the Unified Payments Interface (UPI) has made digital payments faster, simpler, and more convenient. However, it has also increased frauds such as phishing attacks, fake payment requests, QR code scams, and social engineering. Existing AI-based fraud detection systems can identify suspicious transactions but cannot always prevent users from unknowingly sending money to fraudsters.</w:t>
            </w:r>
          </w:p>
          <w:p>
            <w:pPr>
              <w:spacing w:before="80" w:after="120" w:line="276" w:lineRule="auto"/>
              <w:jc w:val="both"/>
            </w:pPr>
            <w:r>
              <w:rPr>
                <w:rFonts w:ascii="Calibri" w:hAnsi="Calibri"/>
                <w:color w:val="262626"/>
                <w:sz w:val="20"/>
              </w:rPr>
              <w:t>To address this problem, we propose UPI Guardian, an AI-Based Adaptive Fraud Prevention Framework that performs AI Risk Analysis using transaction behavior, payment history, receiver trust score, and suspicious SMS indicators. Based on the calculated risk, the system activates Smart Payment Intent Verification, Delayed Protection Mode, and AI Explainable Risk Analysis for high-risk transactions. The framework also provides Personalized Multilingual Voice Assistance in English, Hindi, and Telugu to improve accessibility. Overall, UPI Guardian aims to make digital payments safer, smarter, more secure, and user-friendly.</w:t>
            </w:r>
          </w:p>
          <w:p>
            <w:pPr>
              <w:spacing w:before="160" w:after="0"/>
            </w:pPr>
            <w:r>
              <w:rPr>
                <w:rFonts w:ascii="Calibri" w:hAnsi="Calibri"/>
                <w:b/>
                <w:color w:val="1B365D"/>
                <w:sz w:val="19"/>
              </w:rPr>
              <w:t xml:space="preserve">Keywords: </w:t>
            </w:r>
            <w:r>
              <w:rPr>
                <w:rFonts w:ascii="Calibri" w:hAnsi="Calibri"/>
                <w:i/>
                <w:color w:val="262626"/>
                <w:sz w:val="19"/>
              </w:rPr>
              <w:t>UPI, Fraud Prevention, AI Risk Analysis, Trust Score, Smart Payment Intent Verification, Delayed Protection Mode, Explainable AI, Multilingual Voice Assistance.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Adaptive Protection Mechanisms</w:t>
      </w:r>
    </w:p>
    <w:p>
      <w:pPr>
        <w:pStyle w:val="ListBullet"/>
        <w:spacing w:before="20" w:after="40" w:line="276" w:lineRule="auto"/>
      </w:pPr>
      <w:r>
        <w:rPr>
          <w:rFonts w:ascii="Calibri" w:hAnsi="Calibri"/>
          <w:b/>
          <w:color w:val="262626"/>
          <w:sz w:val="20"/>
        </w:rPr>
        <w:t>Dynamic Receiver Trust Scoring:</w:t>
      </w:r>
      <w:r>
        <w:rPr>
          <w:rFonts w:ascii="Calibri" w:hAnsi="Calibri"/>
          <w:color w:val="262626"/>
          <w:sz w:val="20"/>
        </w:rPr>
        <w:t xml:space="preserve"> Analyzes VPA (Virtual Payment Address) age, complaint history, velocity of incoming payments, and account creation patterns.</w:t>
      </w:r>
    </w:p>
    <w:p>
      <w:pPr>
        <w:pStyle w:val="ListBullet"/>
        <w:spacing w:before="20" w:after="40" w:line="276" w:lineRule="auto"/>
      </w:pPr>
      <w:r>
        <w:rPr>
          <w:rFonts w:ascii="Calibri" w:hAnsi="Calibri"/>
          <w:b/>
          <w:color w:val="262626"/>
          <w:sz w:val="20"/>
        </w:rPr>
        <w:t>Smart Intent Confirmation:</w:t>
      </w:r>
      <w:r>
        <w:rPr>
          <w:rFonts w:ascii="Calibri" w:hAnsi="Calibri"/>
          <w:color w:val="262626"/>
          <w:sz w:val="20"/>
        </w:rPr>
        <w:t xml:space="preserve"> Intercepts reverse payment requests disguised as 'rewards' or 'refunds' via intent dialogs.</w:t>
      </w:r>
    </w:p>
    <w:p>
      <w:pPr>
        <w:pStyle w:val="ListBullet"/>
        <w:spacing w:before="20" w:after="40" w:line="276" w:lineRule="auto"/>
      </w:pPr>
      <w:r>
        <w:rPr>
          <w:rFonts w:ascii="Calibri" w:hAnsi="Calibri"/>
          <w:b/>
          <w:color w:val="262626"/>
          <w:sz w:val="20"/>
        </w:rPr>
        <w:t>Delayed Protection Mode:</w:t>
      </w:r>
      <w:r>
        <w:rPr>
          <w:rFonts w:ascii="Calibri" w:hAnsi="Calibri"/>
          <w:color w:val="262626"/>
          <w:sz w:val="20"/>
        </w:rPr>
        <w:t xml:space="preserve"> Imposes cooling-off transaction buffers on anomalous high-value first-time transfers.</w:t>
      </w:r>
    </w:p>
    <w:p>
      <w:pPr>
        <w:pStyle w:val="ListBullet"/>
        <w:spacing w:before="20" w:after="40" w:line="276" w:lineRule="auto"/>
      </w:pPr>
      <w:r>
        <w:rPr>
          <w:rFonts w:ascii="Calibri" w:hAnsi="Calibri"/>
          <w:b/>
          <w:color w:val="262626"/>
          <w:sz w:val="20"/>
        </w:rPr>
        <w:t>Multilingual Audio Interventions:</w:t>
      </w:r>
      <w:r>
        <w:rPr>
          <w:rFonts w:ascii="Calibri" w:hAnsi="Calibri"/>
          <w:color w:val="262626"/>
          <w:sz w:val="20"/>
        </w:rPr>
        <w:t xml:space="preserve"> Delivers voice warnings in English, Hindi, and Telugu alerting senior citizens and rural users of suspected scams.</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Protects digital payment users from coercive social engineering and fraudulent QR-code sweep traps before money leaves the sender's account.</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