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AI-ENHANCED PATIENT-CENTRIC UNIFIED HEALTH DATA INTEROPERABILITY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Informatics, Health Data Interoperability (HL7 FHIR) &amp; AI Clinical Support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B6.docx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Healthcare organizations generate large amounts of patient data during diagnosis, treatment, laboratory investigations, and medication management. However, this information is often stored separately across different hospitals, making it difficult for healthcare providers to obtain a patient's complete medical history when the patient visits a new healthcare institution. Although existing interoperability approaches support secure exchange of medical information between healthcare providers, they mainly focus on data sharing and do not fully address the challenges of maintaining a unified, patient-centric health record across multiple hospital visits. The absence of a centralized view of patient information can lead to fragmented medical records, repeated diagnostic procedures, delayed clinical decisions, and reduced continuity of care.</w:t>
            </w:r>
          </w:p>
          <w:p>
            <w:pPr>
              <w:spacing w:before="80" w:after="120" w:line="276" w:lineRule="auto"/>
              <w:jc w:val="both"/>
            </w:pPr>
            <w:r>
              <w:rPr>
                <w:rFonts w:ascii="Calibri" w:hAnsi="Calibri"/>
                <w:color w:val="262626"/>
                <w:sz w:val="20"/>
              </w:rPr>
              <w:t>This project proposes an AI-Enhanced Patient-Centric Unified Health Record Interoperability System that supports secure interoperability across multiple healthcare institutions and unified patient health record management. The proposed system enables hospitals to exchange standardized patient records using HL7 Fast Healthcare Interoperability Resources (FHIR). A Master Patient Index (MPI) identifies the hospitals where a patient's records are available, enabling authorized retrieval of previous medical records through secure FHIR-based REST APIs with authentication and patient consent. After treatment completion, participating hospitals synchronize a standardized FHIR representation of the patient's clinical information to the Unified Patient Health Platform, allowing patients to securely access their complete medical history through a mobile application while hospitals retain ownership of their original records.</w:t>
            </w:r>
          </w:p>
          <w:p>
            <w:pPr>
              <w:spacing w:before="80" w:after="120" w:line="276" w:lineRule="auto"/>
              <w:jc w:val="both"/>
            </w:pPr>
            <w:r>
              <w:rPr>
                <w:rFonts w:ascii="Calibri" w:hAnsi="Calibri"/>
                <w:color w:val="262626"/>
                <w:sz w:val="20"/>
              </w:rPr>
              <w:t>An integrated AI Health Assistant uses the Random Forest algorithm to analyze unified patient records, predict potential health risks, provide personalized report explanations, generate treatment summaries, offer medication guidance, follow-up reminders, and answer patient health queries.</w:t>
            </w:r>
          </w:p>
          <w:p>
            <w:pPr>
              <w:spacing w:before="160" w:after="0"/>
            </w:pPr>
            <w:r>
              <w:rPr>
                <w:rFonts w:ascii="Calibri" w:hAnsi="Calibri"/>
                <w:b/>
                <w:color w:val="1B365D"/>
                <w:sz w:val="19"/>
              </w:rPr>
              <w:t xml:space="preserve">Keywords: </w:t>
            </w:r>
            <w:r>
              <w:rPr>
                <w:rFonts w:ascii="Calibri" w:hAnsi="Calibri"/>
                <w:i/>
                <w:color w:val="262626"/>
                <w:sz w:val="19"/>
              </w:rPr>
              <w:t>Healthcare Interoperability, HL7 FHIR Standards, Master Patient Index (MPI), Patient-Centric Health Records, Random Forest AI Assistant, Health Risk Prediction, Clinical Continuity of Care.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Interoperability Architecture</w:t>
      </w:r>
    </w:p>
    <w:p>
      <w:pPr>
        <w:pStyle w:val="ListBullet"/>
        <w:spacing w:before="20" w:after="40" w:line="276" w:lineRule="auto"/>
      </w:pPr>
      <w:r>
        <w:rPr>
          <w:rFonts w:ascii="Calibri" w:hAnsi="Calibri"/>
          <w:b/>
          <w:color w:val="262626"/>
          <w:sz w:val="20"/>
        </w:rPr>
        <w:t>HL7 FHIR RESTful Adapters:</w:t>
      </w:r>
      <w:r>
        <w:rPr>
          <w:rFonts w:ascii="Calibri" w:hAnsi="Calibri"/>
          <w:color w:val="262626"/>
          <w:sz w:val="20"/>
        </w:rPr>
        <w:t xml:space="preserve"> Standardizes EHR resource bundles (Patient, Observation, Condition, DiagnosticReport, MedicationRequest).</w:t>
      </w:r>
    </w:p>
    <w:p>
      <w:pPr>
        <w:pStyle w:val="ListBullet"/>
        <w:spacing w:before="20" w:after="40" w:line="276" w:lineRule="auto"/>
      </w:pPr>
      <w:r>
        <w:rPr>
          <w:rFonts w:ascii="Calibri" w:hAnsi="Calibri"/>
          <w:b/>
          <w:color w:val="262626"/>
          <w:sz w:val="20"/>
        </w:rPr>
        <w:t>Master Patient Index (MPI):</w:t>
      </w:r>
      <w:r>
        <w:rPr>
          <w:rFonts w:ascii="Calibri" w:hAnsi="Calibri"/>
          <w:color w:val="262626"/>
          <w:sz w:val="20"/>
        </w:rPr>
        <w:t xml:space="preserve"> Federated identity resolution indexing cross-hospital medical identifiers with biometric consent.</w:t>
      </w:r>
    </w:p>
    <w:p>
      <w:pPr>
        <w:pStyle w:val="ListBullet"/>
        <w:spacing w:before="20" w:after="40" w:line="276" w:lineRule="auto"/>
      </w:pPr>
      <w:r>
        <w:rPr>
          <w:rFonts w:ascii="Calibri" w:hAnsi="Calibri"/>
          <w:b/>
          <w:color w:val="262626"/>
          <w:sz w:val="20"/>
        </w:rPr>
        <w:t>Patient Data Sovereignty Vault:</w:t>
      </w:r>
      <w:r>
        <w:rPr>
          <w:rFonts w:ascii="Calibri" w:hAnsi="Calibri"/>
          <w:color w:val="262626"/>
          <w:sz w:val="20"/>
        </w:rPr>
        <w:t xml:space="preserve"> Mobile app empowering patients to grant and revoke time-limited physician viewing access.</w:t>
      </w:r>
    </w:p>
    <w:p>
      <w:pPr>
        <w:pStyle w:val="ListBullet"/>
        <w:spacing w:before="20" w:after="40" w:line="276" w:lineRule="auto"/>
      </w:pPr>
      <w:r>
        <w:rPr>
          <w:rFonts w:ascii="Calibri" w:hAnsi="Calibri"/>
          <w:b/>
          <w:color w:val="262626"/>
          <w:sz w:val="20"/>
        </w:rPr>
        <w:t>AI Health Risk &amp; Trajectory Engine:</w:t>
      </w:r>
      <w:r>
        <w:rPr>
          <w:rFonts w:ascii="Calibri" w:hAnsi="Calibri"/>
          <w:color w:val="262626"/>
          <w:sz w:val="20"/>
        </w:rPr>
        <w:t xml:space="preserve"> Uses Random Forest classifiers to predict chronic complications and prevent adverse drug-drug interactions.</w:t>
      </w:r>
    </w:p>
    <w:p>
      <w:pPr>
        <w:spacing w:before="160" w:after="40"/>
      </w:pPr>
      <w:r>
        <w:rPr>
          <w:rFonts w:ascii="Calibri" w:hAnsi="Calibri"/>
          <w:b/>
          <w:color w:val="2E75B6"/>
          <w:sz w:val="22"/>
        </w:rPr>
        <w:t>Clinical Benefits</w:t>
      </w:r>
    </w:p>
    <w:p>
      <w:pPr>
        <w:spacing w:before="40" w:after="80" w:line="276" w:lineRule="auto"/>
        <w:jc w:val="both"/>
      </w:pPr>
      <w:r>
        <w:rPr>
          <w:rFonts w:ascii="Calibri" w:hAnsi="Calibri"/>
          <w:color w:val="262626"/>
          <w:sz w:val="20"/>
        </w:rPr>
        <w:t>Eliminates redundant diagnostic testing, prevents allergic medication conflicts, and enables seamless clinical continuity during patient transfers.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