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jc w:val="center"/>
        <w:spacing w:after="120"/>
      </w:pPr>
      <w:r>
        <w:drawing>
          <wp:inline xmlns:wp="http://schemas.openxmlformats.org/drawingml/2006/wordprocessingDrawing" distT="0" distB="0" distL="0" distR="0">
            <wp:extent cx="6188710" cy="998482"/>
            <wp:docPr id="1" name="CollegeHeader"/>
            <a:graphic xmlns:a="http://schemas.openxmlformats.org/drawingml/2006/main">
              <a:graphicData uri="http://schemas.openxmlformats.org/drawingml/2006/picture">
                <pic:pic xmlns:pic="http://schemas.openxmlformats.org/drawingml/2006/picture">
                  <pic:nvPicPr>
                    <pic:cNvPr id="1" name="CollegeHeader"/>
                    <pic:cNvPicPr/>
                  </pic:nvPicPr>
                  <pic:blipFill>
                    <a:blip xmlns:r="http://schemas.openxmlformats.org/officeDocument/2006/relationships" r:embed="rId10"/>
                    <a:stretch>
                      <a:fillRect/>
                    </a:stretch>
                  </pic:blipFill>
                  <pic:spPr>
                    <a:xfrm>
                      <a:off x="0" y="0"/>
                      <a:ext cx="6188710" cy="998482"/>
                    </a:xfrm>
                    <a:prstGeom prst="rect">
                      <a:avLst/>
                    </a:prstGeom>
                  </pic:spPr>
                </pic:pic>
              </a:graphicData>
            </a:graphic>
          </wp:inline>
        </w:drawing>
      </w:r>
    </w:p>
    <w:p>
      <w:pPr>
        <w:jc w:val="center"/>
        <w:spacing w:after="40" w:line="276" w:lineRule="auto"/>
      </w:pPr>
      <w:r>
        <w:rPr>
          <w:rFonts w:ascii="Times New Roman" w:hAnsi="Times New Roman" w:cs="Times New Roman"/>
          <w:b/>
          <w:color w:val="000000"/>
          <w:sz w:val="24"/>
        </w:rPr>
        <w:t xml:space="preserve">Department of Computer Science and Engineering (Data Science)</w:t>
      </w:r>
    </w:p>
    <w:p>
      <w:pPr>
        <w:jc w:val="center"/>
        <w:spacing w:after="40" w:line="276" w:lineRule="auto"/>
      </w:pPr>
      <w:r>
        <w:rPr>
          <w:rFonts w:ascii="Times New Roman" w:hAnsi="Times New Roman" w:cs="Times New Roman"/>
          <w:b/>
          <w:color w:val="404040"/>
          <w:sz w:val="22"/>
        </w:rPr>
        <w:t xml:space="preserve">CSDS-B   |   Batch B14</w:t>
      </w:r>
    </w:p>
    <w:p>
      <w:pPr>
        <w:jc w:val="center"/>
        <w:spacing w:after="160" w:line="276" w:lineRule="auto"/>
      </w:pPr>
      <w:r>
        <w:rPr>
          <w:rFonts w:ascii="Times New Roman" w:hAnsi="Times New Roman" w:cs="Times New Roman"/>
          <w:color w:val="404040"/>
          <w:sz w:val="22"/>
        </w:rPr>
        <w:t xml:space="preserve">AquaVision: AI-Powered Smart Water Distribution and Quality Intelligence Platform</w:t>
      </w:r>
    </w:p>
    <w:p>
      <w:pPr>
        <w:jc w:val="center"/>
        <w:spacing w:after="220" w:line="276" w:lineRule="auto"/>
      </w:pPr>
      <w:r>
        <w:rPr>
          <w:rFonts w:ascii="Copperplate Gothic Bold" w:hAnsi="Copperplate Gothic Bold" w:cs="Copperplate Gothic Bold"/>
          <w:b/>
          <w:color w:val="002060"/>
          <w:sz w:val="32"/>
        </w:rPr>
        <w:t xml:space="preserve">BASE PAPER</w:t>
      </w:r>
    </w:p>
    <w:tbl>
      <w:tblPr>
        <w:tblW w:w="9746" w:type="dxa"/>
        <w:tblBorders>
          <w:top w:val="single" w:sz="6" w:color="7F7F7F"/>
          <w:left w:val="single" w:sz="6" w:color="7F7F7F"/>
          <w:bottom w:val="single" w:sz="6" w:color="7F7F7F"/>
          <w:right w:val="single" w:sz="6" w:color="7F7F7F"/>
          <w:insideH w:val="single" w:sz="6" w:color="7F7F7F"/>
          <w:insideV w:val="single" w:sz="6" w:color="7F7F7F"/>
        </w:tblBorders>
      </w:tblPr>
      <w:tblGrid>
        <w:gridCol w:w="2600"/>
        <w:gridCol w:w="7146"/>
      </w:tblGrid>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Paper Title</w:t>
            </w:r>
          </w:p>
        </w:tc>
        <w:tc>
          <w:tcPr>
            <w:tcW w:w="7146" w:type="dxa"/>
            <w:vAlign w:val="center"/>
          </w:tcPr>
          <w:p>
            <w:pPr>
              <w:jc w:val="left"/>
              <w:spacing w:before="50" w:after="50"/>
            </w:pPr>
            <w:r>
              <w:rPr>
                <w:rFonts w:ascii="Times New Roman" w:hAnsi="Times New Roman" w:cs="Times New Roman"/>
                <w:color w:val="000000"/>
                <w:sz w:val="22"/>
              </w:rPr>
              <w:t xml:space="preserve">Advancing Water Quality Management: An Integrated Approach Using Ensemble Machine Learning and Real-Time Interactive Visualization</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Published In</w:t>
            </w:r>
          </w:p>
        </w:tc>
        <w:tc>
          <w:tcPr>
            <w:tcW w:w="7146" w:type="dxa"/>
            <w:vAlign w:val="center"/>
          </w:tcPr>
          <w:p>
            <w:pPr>
              <w:jc w:val="left"/>
              <w:spacing w:before="50" w:after="50"/>
            </w:pPr>
            <w:r>
              <w:rPr>
                <w:rFonts w:ascii="Times New Roman" w:hAnsi="Times New Roman" w:cs="Times New Roman"/>
                <w:color w:val="000000"/>
                <w:sz w:val="22"/>
              </w:rPr>
              <w:t xml:space="preserve">IEEE Access</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Year</w:t>
            </w:r>
          </w:p>
        </w:tc>
        <w:tc>
          <w:tcPr>
            <w:tcW w:w="7146" w:type="dxa"/>
            <w:vAlign w:val="center"/>
          </w:tcPr>
          <w:p>
            <w:pPr>
              <w:jc w:val="left"/>
              <w:spacing w:before="50" w:after="50"/>
            </w:pPr>
            <w:r>
              <w:rPr>
                <w:rFonts w:ascii="Times New Roman" w:hAnsi="Times New Roman" w:cs="Times New Roman"/>
                <w:color w:val="000000"/>
                <w:sz w:val="22"/>
              </w:rPr>
              <w:t xml:space="preserve">2025</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DOI</w:t>
            </w:r>
          </w:p>
        </w:tc>
        <w:tc>
          <w:tcPr>
            <w:tcW w:w="7146" w:type="dxa"/>
            <w:vAlign w:val="center"/>
          </w:tcPr>
          <w:p>
            <w:pPr>
              <w:jc w:val="left"/>
              <w:spacing w:before="50" w:after="50"/>
            </w:pPr>
            <w:r>
              <w:rPr>
                <w:rFonts w:ascii="Times New Roman" w:hAnsi="Times New Roman" w:cs="Times New Roman"/>
                <w:color w:val="000000"/>
                <w:sz w:val="22"/>
              </w:rPr>
              <w:t xml:space="preserve">10.1109/access.2025.3573589</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Link</w:t>
            </w:r>
          </w:p>
        </w:tc>
        <w:tc>
          <w:tcPr>
            <w:tcW w:w="7146" w:type="dxa"/>
            <w:vAlign w:val="center"/>
          </w:tcPr>
          <w:p>
            <w:pPr>
              <w:jc w:val="left"/>
              <w:spacing w:before="50" w:after="50"/>
            </w:pPr>
            <w:r>
              <w:rPr>
                <w:rFonts w:ascii="Times New Roman" w:hAnsi="Times New Roman" w:cs="Times New Roman"/>
                <w:color w:val="000000"/>
                <w:sz w:val="22"/>
              </w:rPr>
              <w:t xml:space="preserve">https://doi.org/10.1109/access.2025.3573589</w:t>
            </w:r>
          </w:p>
        </w:tc>
      </w:tr>
      <w:tr>
        <w:tc>
          <w:tcPr>
            <w:tcW w:w="2600" w:type="dxa"/>
            <w:shd w:val="clear" w:color="auto" w:fill="D9E2F3"/>
            <w:vAlign w:val="center"/>
          </w:tcPr>
          <w:p>
            <w:pPr>
              <w:jc w:val="left"/>
              <w:spacing w:before="50" w:after="50"/>
            </w:pPr>
            <w:r>
              <w:rPr>
                <w:rFonts w:ascii="Times New Roman" w:hAnsi="Times New Roman" w:cs="Times New Roman"/>
                <w:b/>
                <w:color w:val="000000"/>
                <w:sz w:val="22"/>
              </w:rPr>
              <w:t xml:space="preserve">File (Documentary)</w:t>
            </w:r>
          </w:p>
        </w:tc>
        <w:tc>
          <w:tcPr>
            <w:tcW w:w="7146" w:type="dxa"/>
            <w:vAlign w:val="center"/>
          </w:tcPr>
          <w:p>
            <w:pPr>
              <w:jc w:val="left"/>
              <w:spacing w:before="50" w:after="50"/>
            </w:pPr>
            <w:r>
              <w:rPr>
                <w:rFonts w:ascii="Times New Roman" w:hAnsi="Times New Roman" w:cs="Times New Roman"/>
                <w:color w:val="000000"/>
                <w:sz w:val="22"/>
              </w:rPr>
              <w:t xml:space="preserve">BASEPAPER_Advancing_Water_Quality_Management_An.pdf</w:t>
            </w:r>
          </w:p>
        </w:tc>
      </w:tr>
    </w:tbl>
    <w:p>
      <w:pPr>
        <w:jc w:val="both"/>
        <w:spacing w:after="0" w:line="276" w:lineRule="auto"/>
      </w:pPr>
      <w:r>
        <w:rPr>
          <w:rFonts w:ascii="Times New Roman" w:hAnsi="Times New Roman" w:cs="Times New Roman"/>
          <w:color w:val="000000"/>
          <w:sz w:val="12"/>
        </w:rPr>
        <w:t xml:space="preserve"> </w:t>
      </w:r>
    </w:p>
    <w:p>
      <w:pPr>
        <w:jc w:val="left"/>
        <w:spacing w:after="100" w:line="276" w:lineRule="auto"/>
      </w:pPr>
      <w:r>
        <w:rPr>
          <w:rFonts w:ascii="Times New Roman" w:hAnsi="Times New Roman" w:cs="Times New Roman"/>
          <w:b/>
          <w:color w:val="002060"/>
          <w:sz w:val="26"/>
        </w:rPr>
        <w:t xml:space="preserve">WHAT THIS PROJECT ADOPTS FROM THE BASE PAPER</w:t>
      </w:r>
    </w:p>
    <w:p>
      <w:pPr>
        <w:jc w:val="both"/>
        <w:spacing w:after="120" w:line="276" w:lineRule="auto"/>
      </w:pPr>
      <w:r>
        <w:rPr>
          <w:rFonts w:ascii="Times New Roman" w:hAnsi="Times New Roman" w:cs="Times New Roman"/>
          <w:color w:val="000000"/>
          <w:sz w:val="24"/>
        </w:rPr>
        <w:t xml:space="preserve">The base paper predicts water potability with an ensemble of Decision Trees, Random Forest, GBM, XGBoost and neural networks and presents results in an interactive dashboard. This project adopts the ensemble prediction and dashboard approach and extends it to demand forecasting, leakage detection and anomaly detection.</w:t>
      </w:r>
    </w:p>
    <w:sectPr>
      <w:pgSz w:w="11906" w:h="16838"/>
      <w:pgMar w:top="720" w:right="1080" w:bottom="720" w:left="1080" w:header="708" w:footer="708" w:gutter="0"/>
    </w:sectPr>
  </w:body>
</w:document>
</file>

<file path=word/_rels/document.xml.rels><?xml version="1.0" encoding="UTF-8" standalone="yes"?><Relationships xmlns="http://schemas.openxmlformats.org/package/2006/relationships"><Relationship Id="rId10" Type="http://schemas.openxmlformats.org/officeDocument/2006/relationships/image" Target="media/header.png"/></Relationships>
</file>