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60"/>
      </w:pPr>
      <w:r>
        <w:drawing>
          <wp:inline xmlns:wp="http://schemas.openxmlformats.org/drawingml/2006/wordprocessingDrawing" distT="0" distB="0" distL="0" distR="0">
            <wp:extent cx="6188000" cy="447986"/>
            <wp:docPr id="1" name="H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H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000" cy="447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64" w:lineRule="auto"/>
      </w:pPr>
      <w:r>
        <w:rPr>
          <w:rFonts w:ascii="Cambria" w:hAnsi="Cambria"/>
          <w:b/>
          <w:color w:val="000000"/>
          <w:sz w:val="20"/>
        </w:rPr>
        <w:t xml:space="preserve">CSE-A   |   Batch 01</w:t>
      </w:r>
    </w:p>
    <w:p>
      <w:pPr>
        <w:jc w:val="center"/>
        <w:spacing w:after="200" w:line="264" w:lineRule="auto"/>
      </w:pPr>
      <w:r>
        <w:rPr>
          <w:rFonts w:ascii="Cambria" w:hAnsi="Cambria"/>
          <w:color w:val="666666"/>
          <w:sz w:val="21"/>
        </w:rPr>
        <w:t xml:space="preserve">Adaptive Learning Intelligence Platform Using Educational Document Analysis and Personalized Learning Analytics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A student handles scattered PDFs, syllabi, lecture notes and question banks across six to eight subjects every semester.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Conventional e-learning portals store these files but do not understand what is inside them.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Large Language Models explain concepts well, but hallucinate when they are not grounded in a trusted source.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Retrieval-Augmented Generation retrieves the relevant passage first and generates the answer only from it.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Semantic context compression keeps retrieval accurate while staying within the model context limit.</w:t>
      </w:r>
    </w:p>
    <w:p>
      <w:pPr>
        <w:jc w:val="both"/>
        <w:spacing w:after="140" w:line="264" w:lineRule="auto"/>
      </w:pPr>
      <w:r>
        <w:rPr>
          <w:rFonts w:ascii="Calibri" w:hAnsi="Calibri"/>
          <w:color w:val="000000"/>
          <w:sz w:val="22"/>
        </w:rPr>
        <w:t xml:space="preserve">•  This project unites document analysis, grounded RAG answering and learning analytics in one academic platform.</w:t>
      </w:r>
    </w:p>
    <w:sectPr>
      <w:pgSz w:w="11906" w:h="16838"/>
      <w:pgMar w:top="720" w:right="1080" w:bottom="720" w:left="108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