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  Batch No: 01</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Adaptive Learning Intelligence Platform Using Educational Document Analysis and Personalized Learning Analytics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01</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Computer Science and Engineering (CSE-A)</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Artificial Intelligence, Learning Analytics, Retrieval-Augmented Generation (RAG)</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BATCH-1.pdf (PDF Document)</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A. DHANUSH</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23K91A0501</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ALE VIJAYALAXMI</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23K91A0508</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BURRI MALLIKARJUN</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23K91A0549</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ATRAGADA NAGATRIMURTHULU</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23K91A0517</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The rapid growth of digital educational resources has created challenges for students in organizing study materials, understanding academic concepts, and tracking learning progress effectively. Traditional learning platforms provide access to content but often lack personalized guidance based on a student's academic profile, interests, and performance. This project proposes an Adaptive Learning Intelligence Platform that integrates educational document analysis, personalized learning assistance, and AI-powered tutoring to enhance the learning experience.</w:t>
            </w:r>
          </w:p>
          <w:p>
            <w:pPr>
              <w:spacing w:before="80" w:after="120" w:line="276" w:lineRule="auto"/>
              <w:jc w:val="both"/>
            </w:pPr>
            <w:r>
              <w:rPr>
                <w:rFonts w:ascii="Calibri" w:hAnsi="Calibri"/>
                <w:color w:val="262626"/>
                <w:sz w:val="20"/>
              </w:rPr>
              <w:t>The proposed system enables students to upload academic resources such as timetables, syllabi, lecture notes, important questions, and study materials. The platform automatically extracts subjects, units, topics, and learning objectives from uploaded documents and organizes them into a structured knowledge repository. Based on student interests, previous academic performance, and learning behavior, the system generates personalized study recommendations, adaptive learning roadmaps, and subject-specific guidance.</w:t>
            </w:r>
          </w:p>
          <w:p>
            <w:pPr>
              <w:spacing w:before="80" w:after="120" w:line="276" w:lineRule="auto"/>
              <w:jc w:val="both"/>
            </w:pPr>
            <w:r>
              <w:rPr>
                <w:rFonts w:ascii="Calibri" w:hAnsi="Calibri"/>
                <w:color w:val="262626"/>
                <w:sz w:val="20"/>
              </w:rPr>
              <w:t>A Retrieval-Augmented Generation (RAG) framework combined with AI models is used to provide context-aware answers and detailed explanations from uploaded educational content. The system continuously analyzes learning activities, topic coverage, and subject engagement to generate meaningful learning analytics through an interactive dashboard. The proposed solution aims to improve study planning, increase learning efficiency, and support self-directed education through intelligent personalization and adaptive academic assistance.</w:t>
            </w:r>
          </w:p>
          <w:p>
            <w:pPr>
              <w:spacing w:before="160" w:after="0"/>
            </w:pPr>
            <w:r>
              <w:rPr>
                <w:rFonts w:ascii="Calibri" w:hAnsi="Calibri"/>
                <w:b/>
                <w:color w:val="1B365D"/>
                <w:sz w:val="19"/>
              </w:rPr>
              <w:t xml:space="preserve">Keywords: </w:t>
            </w:r>
            <w:r>
              <w:rPr>
                <w:rFonts w:ascii="Calibri" w:hAnsi="Calibri"/>
                <w:i/>
                <w:color w:val="262626"/>
                <w:sz w:val="19"/>
              </w:rPr>
              <w:t>Adaptive Learning, Educational Document Analysis, Retrieval-Augmented Generation (RAG), Learning Analytics, AI Tutoring, Personalized Roadmaps, Academic Intelligence.</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Core Architectural Capabilities</w:t>
      </w:r>
    </w:p>
    <w:p>
      <w:pPr>
        <w:pStyle w:val="ListBullet"/>
        <w:spacing w:before="20" w:after="40" w:line="276" w:lineRule="auto"/>
      </w:pPr>
      <w:r>
        <w:rPr>
          <w:rFonts w:ascii="Calibri" w:hAnsi="Calibri"/>
          <w:b/>
          <w:color w:val="262626"/>
          <w:sz w:val="20"/>
        </w:rPr>
        <w:t>Automated Academic Document Parsing:</w:t>
      </w:r>
      <w:r>
        <w:rPr>
          <w:rFonts w:ascii="Calibri" w:hAnsi="Calibri"/>
          <w:color w:val="262626"/>
          <w:sz w:val="20"/>
        </w:rPr>
        <w:t xml:space="preserve"> Extracts subjects, units, chapters, topics, and learning objectives from syllabi, lecture notes, and question banks.</w:t>
      </w:r>
    </w:p>
    <w:p>
      <w:pPr>
        <w:pStyle w:val="ListBullet"/>
        <w:spacing w:before="20" w:after="40" w:line="276" w:lineRule="auto"/>
      </w:pPr>
      <w:r>
        <w:rPr>
          <w:rFonts w:ascii="Calibri" w:hAnsi="Calibri"/>
          <w:b/>
          <w:color w:val="262626"/>
          <w:sz w:val="20"/>
        </w:rPr>
        <w:t>Structured Knowledge Base:</w:t>
      </w:r>
      <w:r>
        <w:rPr>
          <w:rFonts w:ascii="Calibri" w:hAnsi="Calibri"/>
          <w:color w:val="262626"/>
          <w:sz w:val="20"/>
        </w:rPr>
        <w:t xml:space="preserve"> Organizes extracted concepts into vector embeddings and relational schemas for semantic search.</w:t>
      </w:r>
    </w:p>
    <w:p>
      <w:pPr>
        <w:pStyle w:val="ListBullet"/>
        <w:spacing w:before="20" w:after="40" w:line="276" w:lineRule="auto"/>
      </w:pPr>
      <w:r>
        <w:rPr>
          <w:rFonts w:ascii="Calibri" w:hAnsi="Calibri"/>
          <w:b/>
          <w:color w:val="262626"/>
          <w:sz w:val="20"/>
        </w:rPr>
        <w:t>Personalized Roadmap Generation:</w:t>
      </w:r>
      <w:r>
        <w:rPr>
          <w:rFonts w:ascii="Calibri" w:hAnsi="Calibri"/>
          <w:color w:val="262626"/>
          <w:sz w:val="20"/>
        </w:rPr>
        <w:t xml:space="preserve"> Dynamically formulates study schedules and recommended pacing tailored to student strengths and weaknesses.</w:t>
      </w:r>
    </w:p>
    <w:p>
      <w:pPr>
        <w:pStyle w:val="ListBullet"/>
        <w:spacing w:before="20" w:after="40" w:line="276" w:lineRule="auto"/>
      </w:pPr>
      <w:r>
        <w:rPr>
          <w:rFonts w:ascii="Calibri" w:hAnsi="Calibri"/>
          <w:b/>
          <w:color w:val="262626"/>
          <w:sz w:val="20"/>
        </w:rPr>
        <w:t>RAG-Powered AI Tutoring:</w:t>
      </w:r>
      <w:r>
        <w:rPr>
          <w:rFonts w:ascii="Calibri" w:hAnsi="Calibri"/>
          <w:color w:val="262626"/>
          <w:sz w:val="20"/>
        </w:rPr>
        <w:t xml:space="preserve"> Answers student queries strictly grounded in uploaded course materials with exact source citations.</w:t>
      </w:r>
    </w:p>
    <w:p>
      <w:pPr>
        <w:pStyle w:val="ListBullet"/>
        <w:spacing w:before="20" w:after="40" w:line="276" w:lineRule="auto"/>
      </w:pPr>
      <w:r>
        <w:rPr>
          <w:rFonts w:ascii="Calibri" w:hAnsi="Calibri"/>
          <w:b/>
          <w:color w:val="262626"/>
          <w:sz w:val="20"/>
        </w:rPr>
        <w:t>Interactive Analytics Dashboard:</w:t>
      </w:r>
      <w:r>
        <w:rPr>
          <w:rFonts w:ascii="Calibri" w:hAnsi="Calibri"/>
          <w:color w:val="262626"/>
          <w:sz w:val="20"/>
        </w:rPr>
        <w:t xml:space="preserve"> Tracks curriculum coverage, revision milestones, study velocity, and engagement metrics.</w:t>
      </w:r>
    </w:p>
    <w:p>
      <w:pPr>
        <w:spacing w:before="160" w:after="40"/>
      </w:pPr>
      <w:r>
        <w:rPr>
          <w:rFonts w:ascii="Calibri" w:hAnsi="Calibri"/>
          <w:b/>
          <w:color w:val="2E75B6"/>
          <w:sz w:val="22"/>
        </w:rPr>
        <w:t>Expected Outcomes</w:t>
      </w:r>
    </w:p>
    <w:p>
      <w:pPr>
        <w:spacing w:before="40" w:after="80" w:line="276" w:lineRule="auto"/>
        <w:jc w:val="both"/>
      </w:pPr>
      <w:r>
        <w:rPr>
          <w:rFonts w:ascii="Calibri" w:hAnsi="Calibri"/>
          <w:color w:val="262626"/>
          <w:sz w:val="20"/>
        </w:rPr>
        <w:t>Improves student study efficiency, reduces cognitive overload from unorganized academic materials, and provides high-precision AI guidance tailored to university curricula.</w:t>
      </w:r>
    </w:p>
    <w:p>
      <w:pPr>
        <w:spacing w:before="160" w:after="40"/>
      </w:pPr>
      <w:r>
        <w:rPr>
          <w:rFonts w:ascii="Calibri" w:hAnsi="Calibri"/>
          <w:b/>
          <w:color w:val="2E75B6"/>
          <w:sz w:val="22"/>
        </w:rPr>
        <w:t>Technology Focus</w:t>
      </w:r>
    </w:p>
    <w:p>
      <w:pPr>
        <w:spacing w:before="40" w:after="80" w:line="276" w:lineRule="auto"/>
        <w:jc w:val="both"/>
      </w:pPr>
      <w:r>
        <w:rPr>
          <w:rFonts w:ascii="Calibri" w:hAnsi="Calibri"/>
          <w:color w:val="262626"/>
          <w:sz w:val="20"/>
        </w:rPr>
        <w:t>Python, Retrieval-Augmented Generation (RAG), Vector Embeddings, Large Language Models (LLMs), Natural Language Processing, Interactive Web Dashboard.</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Department of CSE | CSE-A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