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jc w:val="center"/>
        <w:spacing w:after="160"/>
      </w:pPr>
      <w:r>
        <w:drawing>
          <wp:inline xmlns:wp="http://schemas.openxmlformats.org/drawingml/2006/wordprocessingDrawing" distT="0" distB="0" distL="0" distR="0">
            <wp:extent cx="6188000" cy="447986"/>
            <wp:docPr id="1" name="H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H"/>
                    <pic:cNvPicPr/>
                  </pic:nvPicPr>
                  <pic:blipFill>
                    <a:blip xmlns:r="http://schemas.openxmlformats.org/officeDocument/2006/relationships"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88000" cy="4479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  <w:spacing w:after="40" w:line="264" w:lineRule="auto"/>
      </w:pPr>
      <w:r>
        <w:rPr>
          <w:rFonts w:ascii="Cambria" w:hAnsi="Cambria"/>
          <w:b/>
          <w:color w:val="000000"/>
          <w:sz w:val="20"/>
        </w:rPr>
        <w:t xml:space="preserve">CSE-A   |   Batch 12</w:t>
      </w:r>
    </w:p>
    <w:p>
      <w:pPr>
        <w:jc w:val="center"/>
        <w:spacing w:after="200" w:line="264" w:lineRule="auto"/>
      </w:pPr>
      <w:r>
        <w:rPr>
          <w:rFonts w:ascii="Cambria" w:hAnsi="Cambria"/>
          <w:color w:val="666666"/>
          <w:sz w:val="21"/>
        </w:rPr>
        <w:t xml:space="preserve">Pneumonia Detection Using Deep Learning</w:t>
      </w:r>
    </w:p>
    <w:p>
      <w:pPr>
        <w:jc w:val="both"/>
        <w:spacing w:after="140" w:line="264" w:lineRule="auto"/>
      </w:pPr>
      <w:r>
        <w:rPr>
          <w:rFonts w:ascii="Calibri" w:hAnsi="Calibri"/>
          <w:color w:val="000000"/>
          <w:sz w:val="22"/>
        </w:rPr>
        <w:t xml:space="preserve">•  Pneumonia remains a leading cause of death, particularly among children and the elderly.</w:t>
      </w:r>
    </w:p>
    <w:p>
      <w:pPr>
        <w:jc w:val="both"/>
        <w:spacing w:after="140" w:line="264" w:lineRule="auto"/>
      </w:pPr>
      <w:r>
        <w:rPr>
          <w:rFonts w:ascii="Calibri" w:hAnsi="Calibri"/>
          <w:color w:val="000000"/>
          <w:sz w:val="22"/>
        </w:rPr>
        <w:t xml:space="preserve">•  Diagnosis depends on a radiologist reading chest X-rays, and radiologists are scarce.</w:t>
      </w:r>
    </w:p>
    <w:p>
      <w:pPr>
        <w:jc w:val="both"/>
        <w:spacing w:after="140" w:line="264" w:lineRule="auto"/>
      </w:pPr>
      <w:r>
        <w:rPr>
          <w:rFonts w:ascii="Calibri" w:hAnsi="Calibri"/>
          <w:color w:val="000000"/>
          <w:sz w:val="22"/>
        </w:rPr>
        <w:t xml:space="preserve">•  Manual reading is slow and agreement between observers varies.</w:t>
      </w:r>
    </w:p>
    <w:p>
      <w:pPr>
        <w:jc w:val="both"/>
        <w:spacing w:after="140" w:line="264" w:lineRule="auto"/>
      </w:pPr>
      <w:r>
        <w:rPr>
          <w:rFonts w:ascii="Calibri" w:hAnsi="Calibri"/>
          <w:color w:val="000000"/>
          <w:sz w:val="22"/>
        </w:rPr>
        <w:t xml:space="preserve">•  Convolutional Neural Networks now match expert performance on several chest X-ray benchmarks.</w:t>
      </w:r>
    </w:p>
    <w:p>
      <w:pPr>
        <w:jc w:val="both"/>
        <w:spacing w:after="140" w:line="264" w:lineRule="auto"/>
      </w:pPr>
      <w:r>
        <w:rPr>
          <w:rFonts w:ascii="Calibri" w:hAnsi="Calibri"/>
          <w:color w:val="000000"/>
          <w:sz w:val="22"/>
        </w:rPr>
        <w:t xml:space="preserve">•  Lung segmentation focuses the model on the relevant region and improves reliability.</w:t>
      </w:r>
    </w:p>
    <w:p>
      <w:pPr>
        <w:jc w:val="both"/>
        <w:spacing w:after="140" w:line="264" w:lineRule="auto"/>
      </w:pPr>
      <w:r>
        <w:rPr>
          <w:rFonts w:ascii="Calibri" w:hAnsi="Calibri"/>
          <w:color w:val="000000"/>
          <w:sz w:val="22"/>
        </w:rPr>
        <w:t xml:space="preserve">•  Heatmap visualisation shows which region drove the prediction, which is essential for clinical trust.</w:t>
      </w:r>
    </w:p>
    <w:sectPr>
      <w:pgSz w:w="11906" w:h="16838"/>
      <w:pgMar w:top="720" w:right="1080" w:bottom="720" w:left="1080"/>
    </w:sectPr>
  </w:body>
</w:document>
</file>

<file path=word/_rels/document.xml.rels><?xml version="1.0" encoding="UTF-8" standalone="yes"?><Relationships xmlns="http://schemas.openxmlformats.org/package/2006/relationships"><Relationship Id="rId10" Type="http://schemas.openxmlformats.org/officeDocument/2006/relationships/image" Target="media/header.png"/></Relationships>
</file>