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13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SafeGrid-AI: An Explainable Multi-Agent System for Dynamic Power Routing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700"/>
        <w:gridCol w:w="5400"/>
        <w:gridCol w:w="800"/>
        <w:gridCol w:w="2846"/>
      </w:tblGrid>
      <w:tr>
        <w:tc>
          <w:tcPr>
            <w:tcW w:w="7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S.No</w:t>
            </w:r>
          </w:p>
        </w:tc>
        <w:tc>
          <w:tcPr>
            <w:tcW w:w="5400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Paper Title</w:t>
            </w:r>
          </w:p>
        </w:tc>
        <w:tc>
          <w:tcPr>
            <w:tcW w:w="8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Year</w:t>
            </w:r>
          </w:p>
        </w:tc>
        <w:tc>
          <w:tcPr>
            <w:tcW w:w="2846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Source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1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Design of Multi-Agent-Based Energy Management System for DC Microgrids   [BASE PAPER]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IEEE Access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Multi-Agent Deep Reinforcement Learning for Energy-Efficient Smart Grid Management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2025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Proceedings of the 1st International Conference on Intelligent Methods and Advanced Computer Scientific Innovations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3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Energy System Fault Reconstruction Control Strategy Based on Multi-agent Deep Reinforcement Learning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2024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2024 6th International Conference on Energy, Power and Grid (ICEPG)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4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Distributed Optimal Scheduling for Electric Vehicles Considering the Multi-Agent Demands of Electric Vehicles, Charging Stations and Power Grid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2025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2025 3rd International Conference on Power, Grid and Energy Storage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5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Multi-agent Systems in Power System: A Comprehensive Review of Energy Management in Power Grid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2025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Lecture Notes in Electrical Engineering Smart Grid Security and Protection</w:t>
            </w:r>
          </w:p>
        </w:tc>
      </w:tr>
    </w:tbl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64" w:lineRule="auto"/>
      </w:pPr>
      <w:r>
        <w:rPr>
          <w:rFonts w:ascii="Cambria" w:hAnsi="Cambria"/>
          <w:b/>
          <w:color w:val="EA6826"/>
          <w:sz w:val="22"/>
        </w:rPr>
        <w:t xml:space="preserve">GAP IDENTIFIED FROM THE SURVEY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The surveyed work builds multi-agent energy management for microgrids without a language-model planning layer. The gap is combining agentic planning with formal safety shielding and operator-facing explanations.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