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240" w:lineRule="auto"/>
      </w:pPr>
      <w:r>
        <w:rPr>
          <w:rFonts w:ascii="Cambria" w:hAnsi="Cambria"/>
          <w:b/>
          <w:color w:val="000000"/>
          <w:sz w:val="24"/>
        </w:rPr>
        <w:t xml:space="preserve">Department of Computer Science and Engineering (CSE-A)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A15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Computer Science and Engineering (CSE-A)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Data Protection Using Hybrid Encryption and Steganography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Domain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Cyber Security and Information Security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Base Paper Reference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ProSt: Provably Secure Homomorphic Steganography   (IEEE Access,  2026)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TEAM MEMBERS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Hall Ticket / Roll No.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ALLAM RAKESH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23K91A0509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BOLLEDDU SHANKER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23K91A0543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AGARAM SRI SARVAGNA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23K91A0506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B AKSHAY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24K915A0504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GUIDE</w:t>
      </w:r>
    </w:p>
    <w:p>
      <w:pPr>
        <w:jc w:val="left"/>
        <w:spacing w:after="120" w:line="240" w:lineRule="auto"/>
      </w:pPr>
      <w:r>
        <w:rPr>
          <w:rFonts w:ascii="Calibri" w:hAnsi="Calibri"/>
          <w:color w:val="000000"/>
          <w:sz w:val="22"/>
        </w:rPr>
        <w:t>Under the Guidance of :   Rajalakshmi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Keywords :  Hybrid Encryption, AES, RSA, Steganography, LSB, Data Security, Information Hiding, Cyber Security, Secure Communication.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Original Source Document :  Batch-15.pdf (PDF Document)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header.png"/></Relationships>
</file>