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color w:val="2E75B6"/>
          <w:sz w:val="21"/>
        </w:rPr>
        <w:t>TKR COLLEGE OF ENGINEERING &amp; TECHNOLOGY (AUTONOMOUS)</w:t>
      </w:r>
    </w:p>
    <w:p>
      <w:pPr>
        <w:spacing w:after="240" w:before="0"/>
        <w:jc w:val="center"/>
      </w:pPr>
      <w:r>
        <w:rPr>
          <w:rFonts w:ascii="Calibri" w:hAnsi="Calibri"/>
          <w:b/>
          <w:color w:val="595959"/>
          <w:sz w:val="19"/>
        </w:rPr>
        <w:t>Department of Computer Science and Engineering  |  Batch No: 04</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Credit Card Fraud Detection Using Machine Learning</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04</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Branch</w:t>
            </w:r>
          </w:p>
        </w:tc>
        <w:tc>
          <w:tcPr>
            <w:tcW w:type="dxa" w:w="6768"/>
            <w:shd w:fill="FAFCFF"/>
            <w:tcMar>
              <w:top w:w="80" w:type="dxa"/>
              <w:bottom w:w="80" w:type="dxa"/>
              <w:left w:w="120" w:type="dxa"/>
              <w:right w:w="120" w:type="dxa"/>
            </w:tcMar>
          </w:tcPr>
          <w:p>
            <w:pPr>
              <w:spacing w:after="0"/>
            </w:pPr>
            <w:r>
              <w:rPr>
                <w:rFonts w:ascii="Calibri" w:hAnsi="Calibri"/>
                <w:color w:val="262626"/>
                <w:sz w:val="19"/>
              </w:rPr>
              <w:t>Computer Science and Engineering (CSE-A)</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Project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Machine Learning, Financial Cybersecurity &amp; Data Analytics</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 File</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number 4.pdf (PDF Document (Scanned))</w:t>
            </w:r>
          </w:p>
        </w:tc>
      </w:tr>
    </w:tbl>
    <w:p>
      <w:pPr>
        <w:spacing w:before="80" w:after="80"/>
      </w:pPr>
    </w:p>
    <w:p>
      <w:pPr>
        <w:spacing w:before="160" w:after="80"/>
      </w:pPr>
      <w:r>
        <w:rPr>
          <w:rFonts w:ascii="Calibri" w:hAnsi="Calibri"/>
          <w:b/>
          <w:color w:val="1B365D"/>
          <w:sz w:val="24"/>
        </w:rPr>
        <w:t>Project Team Members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3120"/>
        <w:gridCol w:w="3120"/>
        <w:gridCol w:w="3120"/>
      </w:tblGrid>
      <w:tr>
        <w:tc>
          <w:tcPr>
            <w:tcW w:type="dxa" w:w="1152"/>
            <w:shd w:fill="1B365D"/>
            <w:tcMar>
              <w:top w:w="100" w:type="dxa"/>
              <w:bottom w:w="100" w:type="dxa"/>
              <w:left w:w="120" w:type="dxa"/>
              <w:right w:w="120" w:type="dxa"/>
            </w:tcMar>
          </w:tcPr>
          <w:p>
            <w:pPr>
              <w:spacing w:after="0"/>
              <w:jc w:val="center"/>
            </w:pPr>
            <w:r>
              <w:rPr>
                <w:rFonts w:ascii="Calibri" w:hAnsi="Calibri"/>
                <w:b/>
                <w:color w:val="FFFFFF"/>
                <w:sz w:val="19"/>
              </w:rPr>
              <w:t>S.No.</w:t>
            </w:r>
          </w:p>
        </w:tc>
        <w:tc>
          <w:tcPr>
            <w:tcW w:type="dxa" w:w="5184"/>
            <w:shd w:fill="1B365D"/>
            <w:tcMar>
              <w:top w:w="100" w:type="dxa"/>
              <w:bottom w:w="100" w:type="dxa"/>
              <w:left w:w="120" w:type="dxa"/>
              <w:right w:w="120" w:type="dxa"/>
            </w:tcMar>
          </w:tcPr>
          <w:p>
            <w:pPr>
              <w:spacing w:after="0"/>
            </w:pPr>
            <w:r>
              <w:rPr>
                <w:rFonts w:ascii="Calibri" w:hAnsi="Calibri"/>
                <w:b/>
                <w:color w:val="FFFFFF"/>
                <w:sz w:val="19"/>
              </w:rPr>
              <w:t>Student Name</w:t>
            </w:r>
          </w:p>
        </w:tc>
        <w:tc>
          <w:tcPr>
            <w:tcW w:type="dxa" w:w="3024"/>
            <w:shd w:fill="1B365D"/>
            <w:tcMar>
              <w:top w:w="100" w:type="dxa"/>
              <w:bottom w:w="100" w:type="dxa"/>
              <w:left w:w="120" w:type="dxa"/>
              <w:right w:w="120" w:type="dxa"/>
            </w:tcMar>
          </w:tcPr>
          <w:p>
            <w:pPr>
              <w:spacing w:after="0"/>
              <w:jc w:val="center"/>
            </w:pPr>
            <w:r>
              <w:rPr>
                <w:rFonts w:ascii="Calibri" w:hAnsi="Calibri"/>
                <w:b/>
                <w:color w:val="FFFFFF"/>
                <w:sz w:val="19"/>
              </w:rPr>
              <w:t>Hall Ticket / Roll No.</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1</w:t>
            </w:r>
          </w:p>
        </w:tc>
        <w:tc>
          <w:tcPr>
            <w:tcW w:type="dxa" w:w="5184"/>
            <w:shd w:fill="FFFFFF"/>
            <w:tcMar>
              <w:top w:w="70" w:type="dxa"/>
              <w:bottom w:w="70" w:type="dxa"/>
              <w:left w:w="100" w:type="dxa"/>
              <w:right w:w="100" w:type="dxa"/>
            </w:tcMar>
          </w:tcPr>
          <w:p>
            <w:pPr>
              <w:spacing w:after="0"/>
            </w:pPr>
            <w:r>
              <w:rPr>
                <w:rFonts w:ascii="Calibri" w:hAnsi="Calibri"/>
                <w:b/>
                <w:color w:val="262626"/>
                <w:sz w:val="19"/>
              </w:rPr>
              <w:t>A. PRAVEEN KUMAR</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23K91A0513</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2</w:t>
            </w:r>
          </w:p>
        </w:tc>
        <w:tc>
          <w:tcPr>
            <w:tcW w:type="dxa" w:w="5184"/>
            <w:shd w:fill="F0F4F8"/>
            <w:tcMar>
              <w:top w:w="70" w:type="dxa"/>
              <w:bottom w:w="70" w:type="dxa"/>
              <w:left w:w="100" w:type="dxa"/>
              <w:right w:w="100" w:type="dxa"/>
            </w:tcMar>
          </w:tcPr>
          <w:p>
            <w:pPr>
              <w:spacing w:after="0"/>
            </w:pPr>
            <w:r>
              <w:rPr>
                <w:rFonts w:ascii="Calibri" w:hAnsi="Calibri"/>
                <w:b/>
                <w:color w:val="262626"/>
                <w:sz w:val="19"/>
              </w:rPr>
              <w:t>B. AJAY KUMAR</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23K91A0529</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3</w:t>
            </w:r>
          </w:p>
        </w:tc>
        <w:tc>
          <w:tcPr>
            <w:tcW w:type="dxa" w:w="5184"/>
            <w:shd w:fill="FFFFFF"/>
            <w:tcMar>
              <w:top w:w="70" w:type="dxa"/>
              <w:bottom w:w="70" w:type="dxa"/>
              <w:left w:w="100" w:type="dxa"/>
              <w:right w:w="100" w:type="dxa"/>
            </w:tcMar>
          </w:tcPr>
          <w:p>
            <w:pPr>
              <w:spacing w:after="0"/>
            </w:pPr>
            <w:r>
              <w:rPr>
                <w:rFonts w:ascii="Calibri" w:hAnsi="Calibri"/>
                <w:b/>
                <w:color w:val="262626"/>
                <w:sz w:val="19"/>
              </w:rPr>
              <w:t>D. CHANDRIKA</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23K91A0557</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4</w:t>
            </w:r>
          </w:p>
        </w:tc>
        <w:tc>
          <w:tcPr>
            <w:tcW w:type="dxa" w:w="5184"/>
            <w:shd w:fill="F0F4F8"/>
            <w:tcMar>
              <w:top w:w="70" w:type="dxa"/>
              <w:bottom w:w="70" w:type="dxa"/>
              <w:left w:w="100" w:type="dxa"/>
              <w:right w:w="100" w:type="dxa"/>
            </w:tcMar>
          </w:tcPr>
          <w:p>
            <w:pPr>
              <w:spacing w:after="0"/>
            </w:pPr>
            <w:r>
              <w:rPr>
                <w:rFonts w:ascii="Calibri" w:hAnsi="Calibri"/>
                <w:b/>
                <w:color w:val="262626"/>
                <w:sz w:val="19"/>
              </w:rPr>
              <w:t>B. VIJAY</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23K91A0525</w:t>
            </w:r>
          </w:p>
        </w:tc>
      </w:tr>
    </w:tbl>
    <w:p>
      <w:pPr>
        <w:spacing w:before="80" w:after="80"/>
      </w:pP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Credit card fraud is a major concern for financial institutions and cardholders, leading to significant economic losses and eroding customer trust. Traditional rule-based systems often fail to detect sophisticated fraudulent transactions due to the dynamic and imbalanced nature of data. This project presents a machine learning based approach to detect fraudulent credit card transactions with higher accuracy and efficiency. The system is trained on historical transaction data and uses classification algorithms to distinguish between legitimate and fraudulent activities. Various preprocessing techniques such as data normalization, handling class imbalance using SMOTE, and feature selection are applied to improve model performance. Algorithms like Logistic Regression, Random Forest, and XGBoost are evaluated based on metrics including accuracy, precision, recall, F1-score, and ROC-AUC. Among them, the optimized model shows high recall, ensuring that most fraudulent transactions are correctly identified while minimizing false positives. The proposed model can be integrated into real-time systems to provide instant fraud alerts, helping banks and financial organizations reduce losses and enhance security. This work demonstrates the effectiveness of machine learning in solving real-world problems and can be extended to include deep learning models for further improvement.</w:t>
            </w:r>
          </w:p>
          <w:p>
            <w:pPr>
              <w:spacing w:before="160" w:after="0"/>
            </w:pPr>
            <w:r>
              <w:rPr>
                <w:rFonts w:ascii="Calibri" w:hAnsi="Calibri"/>
                <w:b/>
                <w:color w:val="1B365D"/>
                <w:sz w:val="19"/>
              </w:rPr>
              <w:t xml:space="preserve">Keywords: </w:t>
            </w:r>
            <w:r>
              <w:rPr>
                <w:rFonts w:ascii="Calibri" w:hAnsi="Calibri"/>
                <w:i/>
                <w:color w:val="262626"/>
                <w:sz w:val="19"/>
              </w:rPr>
              <w:t>Credit Card Fraud, Machine Learning, Classification, Imbalanced Data, SMOTE, Random Forest, XGBoost, Fraud Detection, Transaction Analysis.</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Challenge Addressed</w:t>
      </w:r>
    </w:p>
    <w:p>
      <w:pPr>
        <w:spacing w:before="40" w:after="80" w:line="276" w:lineRule="auto"/>
        <w:jc w:val="both"/>
      </w:pPr>
      <w:r>
        <w:rPr>
          <w:rFonts w:ascii="Calibri" w:hAnsi="Calibri"/>
          <w:color w:val="262626"/>
          <w:sz w:val="20"/>
        </w:rPr>
        <w:t>Extreme class imbalance in transaction logs (fraudulent cases typically &lt; 0.2% of total transactions) and latency constraints in payment gateways.</w:t>
      </w:r>
    </w:p>
    <w:p>
      <w:pPr>
        <w:spacing w:before="160" w:after="40"/>
      </w:pPr>
      <w:r>
        <w:rPr>
          <w:rFonts w:ascii="Calibri" w:hAnsi="Calibri"/>
          <w:b/>
          <w:color w:val="2E75B6"/>
          <w:sz w:val="22"/>
        </w:rPr>
        <w:t>Data Preprocessing &amp; Imbalance Handling</w:t>
      </w:r>
    </w:p>
    <w:p>
      <w:pPr>
        <w:pStyle w:val="ListBullet"/>
        <w:spacing w:before="20" w:after="40" w:line="276" w:lineRule="auto"/>
      </w:pPr>
      <w:r>
        <w:rPr>
          <w:rFonts w:ascii="Calibri" w:hAnsi="Calibri"/>
          <w:color w:val="262626"/>
          <w:sz w:val="20"/>
        </w:rPr>
        <w:t>SMOTE (Synthetic Minority Over-sampling Technique): Synthesizes balanced minority class instances in feature space.</w:t>
      </w:r>
    </w:p>
    <w:p>
      <w:pPr>
        <w:pStyle w:val="ListBullet"/>
        <w:spacing w:before="20" w:after="40" w:line="276" w:lineRule="auto"/>
      </w:pPr>
      <w:r>
        <w:rPr>
          <w:rFonts w:ascii="Calibri" w:hAnsi="Calibri"/>
          <w:b/>
          <w:color w:val="262626"/>
          <w:sz w:val="20"/>
        </w:rPr>
        <w:t>Robust Feature Scaling:</w:t>
      </w:r>
      <w:r>
        <w:rPr>
          <w:rFonts w:ascii="Calibri" w:hAnsi="Calibri"/>
          <w:color w:val="262626"/>
          <w:sz w:val="20"/>
        </w:rPr>
        <w:t xml:space="preserve"> Standardizes transaction amount and PCA-transformed variables.</w:t>
      </w:r>
    </w:p>
    <w:p>
      <w:pPr>
        <w:pStyle w:val="ListBullet"/>
        <w:spacing w:before="20" w:after="40" w:line="276" w:lineRule="auto"/>
      </w:pPr>
      <w:r>
        <w:rPr>
          <w:rFonts w:ascii="Calibri" w:hAnsi="Calibri"/>
          <w:color w:val="262626"/>
          <w:sz w:val="20"/>
        </w:rPr>
        <w:t>Feature Selection &amp; Dimensionality Reduction: Identifies highest-correlation predictive fraud signals.</w:t>
      </w:r>
    </w:p>
    <w:p>
      <w:pPr>
        <w:spacing w:before="160" w:after="40"/>
      </w:pPr>
      <w:r>
        <w:rPr>
          <w:rFonts w:ascii="Calibri" w:hAnsi="Calibri"/>
          <w:b/>
          <w:color w:val="2E75B6"/>
          <w:sz w:val="22"/>
        </w:rPr>
        <w:t>Algorithms Compared &amp; Evaluated</w:t>
      </w:r>
    </w:p>
    <w:p>
      <w:pPr>
        <w:pStyle w:val="ListBullet"/>
        <w:spacing w:before="20" w:after="40" w:line="276" w:lineRule="auto"/>
      </w:pPr>
      <w:r>
        <w:rPr>
          <w:rFonts w:ascii="Calibri" w:hAnsi="Calibri"/>
          <w:b/>
          <w:color w:val="262626"/>
          <w:sz w:val="20"/>
        </w:rPr>
        <w:t>Logistic Regression:</w:t>
      </w:r>
      <w:r>
        <w:rPr>
          <w:rFonts w:ascii="Calibri" w:hAnsi="Calibri"/>
          <w:color w:val="262626"/>
          <w:sz w:val="20"/>
        </w:rPr>
        <w:t xml:space="preserve"> Baseline probabilistic linear classifier.</w:t>
      </w:r>
    </w:p>
    <w:p>
      <w:pPr>
        <w:pStyle w:val="ListBullet"/>
        <w:spacing w:before="20" w:after="40" w:line="276" w:lineRule="auto"/>
      </w:pPr>
      <w:r>
        <w:rPr>
          <w:rFonts w:ascii="Calibri" w:hAnsi="Calibri"/>
          <w:b/>
          <w:color w:val="262626"/>
          <w:sz w:val="20"/>
        </w:rPr>
        <w:t>Random Forest:</w:t>
      </w:r>
      <w:r>
        <w:rPr>
          <w:rFonts w:ascii="Calibri" w:hAnsi="Calibri"/>
          <w:color w:val="262626"/>
          <w:sz w:val="20"/>
        </w:rPr>
        <w:t xml:space="preserve"> Non-linear ensemble model resilient to noise.</w:t>
      </w:r>
    </w:p>
    <w:p>
      <w:pPr>
        <w:pStyle w:val="ListBullet"/>
        <w:spacing w:before="20" w:after="40" w:line="276" w:lineRule="auto"/>
      </w:pPr>
      <w:r>
        <w:rPr>
          <w:rFonts w:ascii="Calibri" w:hAnsi="Calibri"/>
          <w:b/>
          <w:color w:val="262626"/>
          <w:sz w:val="20"/>
        </w:rPr>
        <w:t>XGBoost:</w:t>
      </w:r>
      <w:r>
        <w:rPr>
          <w:rFonts w:ascii="Calibri" w:hAnsi="Calibri"/>
          <w:color w:val="262626"/>
          <w:sz w:val="20"/>
        </w:rPr>
        <w:t xml:space="preserve"> Extreme gradient boosting tree model achieving optimal ROC-AUC and recall.</w:t>
      </w:r>
    </w:p>
    <w:p>
      <w:pPr>
        <w:spacing w:before="160" w:after="40"/>
      </w:pPr>
      <w:r>
        <w:rPr>
          <w:rFonts w:ascii="Calibri" w:hAnsi="Calibri"/>
          <w:b/>
          <w:color w:val="2E75B6"/>
          <w:sz w:val="22"/>
        </w:rPr>
        <w:t>Evaluation Metrics</w:t>
      </w:r>
    </w:p>
    <w:p>
      <w:pPr>
        <w:spacing w:before="40" w:after="80" w:line="276" w:lineRule="auto"/>
        <w:jc w:val="both"/>
      </w:pPr>
      <w:r>
        <w:rPr>
          <w:rFonts w:ascii="Calibri" w:hAnsi="Calibri"/>
          <w:color w:val="262626"/>
          <w:sz w:val="20"/>
        </w:rPr>
        <w:t>Recall (Sensitivity to catch fraudulent transactions), Precision, F1-Score, ROC-AUC Curve Analysis, and False Positive Rate minimization.</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7"/>
      </w:rPr>
      <w:t>Major Project Synopsis &amp; Abstract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TKR College of Engineering &amp; Technology | Department of CSE | CSE-A Projects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