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60"/>
      </w:pPr>
      <w:r>
        <w:drawing>
          <wp:inline xmlns:wp="http://schemas.openxmlformats.org/drawingml/2006/wordprocessingDrawing" distT="0" distB="0" distL="0" distR="0">
            <wp:extent cx="6188000" cy="447986"/>
            <wp:docPr id="1" name="H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H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000" cy="447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40" w:line="264" w:lineRule="auto"/>
      </w:pPr>
      <w:r>
        <w:rPr>
          <w:rFonts w:ascii="Cambria" w:hAnsi="Cambria"/>
          <w:b/>
          <w:color w:val="000000"/>
          <w:sz w:val="20"/>
        </w:rPr>
        <w:t xml:space="preserve">CSE-A   |   Batch 09</w:t>
      </w:r>
    </w:p>
    <w:p>
      <w:pPr>
        <w:jc w:val="center"/>
        <w:spacing w:after="200" w:line="264" w:lineRule="auto"/>
      </w:pPr>
      <w:r>
        <w:rPr>
          <w:rFonts w:ascii="Cambria" w:hAnsi="Cambria"/>
          <w:color w:val="666666"/>
          <w:sz w:val="21"/>
        </w:rPr>
        <w:t xml:space="preserve">Graph Neural Network Analysis for Scalable Fake Profile Detection and Botnets</w:t>
      </w:r>
    </w:p>
    <w:tbl>
      <w:tblPr>
        <w:tblW w:w="9746" w:type="dxa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2400"/>
        <w:gridCol w:w="7346"/>
      </w:tblGrid>
      <w:tr>
        <w:tc>
          <w:tcPr>
            <w:tcW w:w="2400" w:type="dxa"/>
            <w:shd w:val="clear" w:color="auto" w:fill="FDE9DC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Paper Title</w:t>
            </w:r>
          </w:p>
        </w:tc>
        <w:tc>
          <w:tcPr>
            <w:tcW w:w="73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PruferNET: An Augmented Graph Neural Network for Influential Node Detection in Social Networks</w:t>
            </w:r>
          </w:p>
        </w:tc>
      </w:tr>
      <w:tr>
        <w:tc>
          <w:tcPr>
            <w:tcW w:w="2400" w:type="dxa"/>
            <w:shd w:val="clear" w:color="auto" w:fill="FDE9DC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Published In</w:t>
            </w:r>
          </w:p>
        </w:tc>
        <w:tc>
          <w:tcPr>
            <w:tcW w:w="73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IEEE Access</w:t>
            </w:r>
          </w:p>
        </w:tc>
      </w:tr>
      <w:tr>
        <w:tc>
          <w:tcPr>
            <w:tcW w:w="2400" w:type="dxa"/>
            <w:shd w:val="clear" w:color="auto" w:fill="FDE9DC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Year</w:t>
            </w:r>
          </w:p>
        </w:tc>
        <w:tc>
          <w:tcPr>
            <w:tcW w:w="73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2026</w:t>
            </w:r>
          </w:p>
        </w:tc>
      </w:tr>
      <w:tr>
        <w:tc>
          <w:tcPr>
            <w:tcW w:w="2400" w:type="dxa"/>
            <w:shd w:val="clear" w:color="auto" w:fill="FDE9DC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DOI</w:t>
            </w:r>
          </w:p>
        </w:tc>
        <w:tc>
          <w:tcPr>
            <w:tcW w:w="73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10.1109/access.2026.3695637</w:t>
            </w:r>
          </w:p>
        </w:tc>
      </w:tr>
      <w:tr>
        <w:tc>
          <w:tcPr>
            <w:tcW w:w="2400" w:type="dxa"/>
            <w:shd w:val="clear" w:color="auto" w:fill="FDE9DC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Link</w:t>
            </w:r>
          </w:p>
        </w:tc>
        <w:tc>
          <w:tcPr>
            <w:tcW w:w="73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https://ieeexplore.ieee.org/document/11533388</w:t>
            </w:r>
          </w:p>
        </w:tc>
      </w:tr>
    </w:tbl>
    <w:p>
      <w:pPr>
        <w:jc w:val="left"/>
        <w:spacing w:after="0" w:line="264" w:lineRule="auto"/>
      </w:pPr>
      <w:r>
        <w:rPr>
          <w:rFonts w:ascii="Calibri" w:hAnsi="Calibri"/>
          <w:color w:val="000000"/>
          <w:sz w:val="16"/>
        </w:rPr>
        <w:t xml:space="preserve"> </w:t>
      </w:r>
    </w:p>
    <w:p>
      <w:pPr>
        <w:jc w:val="left"/>
        <w:spacing w:after="100" w:line="264" w:lineRule="auto"/>
      </w:pPr>
      <w:r>
        <w:rPr>
          <w:rFonts w:ascii="Cambria" w:hAnsi="Cambria"/>
          <w:b/>
          <w:color w:val="EA6826"/>
          <w:sz w:val="22"/>
        </w:rPr>
        <w:t xml:space="preserve">WHAT THIS PROJECT ADOPTS FROM THE BASE PAPER</w:t>
      </w:r>
    </w:p>
    <w:p>
      <w:pPr>
        <w:jc w:val="both"/>
        <w:spacing w:after="120" w:line="264" w:lineRule="auto"/>
      </w:pPr>
      <w:r>
        <w:rPr>
          <w:rFonts w:ascii="Calibri" w:hAnsi="Calibri"/>
          <w:color w:val="000000"/>
          <w:sz w:val="22"/>
        </w:rPr>
        <w:t xml:space="preserve">•  The surveyed work applies GNNs to influence and node classification in social graphs. The gap is applying the same relational learning specifically to fake-profile and botnet detection at platform scale.</w:t>
      </w:r>
    </w:p>
    <w:p>
      <w:pPr>
        <w:jc w:val="both"/>
        <w:spacing w:after="120" w:line="264" w:lineRule="auto"/>
      </w:pPr>
      <w:r>
        <w:rPr>
          <w:rFonts w:ascii="Calibri" w:hAnsi="Calibri"/>
          <w:color w:val="000000"/>
          <w:sz w:val="22"/>
        </w:rPr>
        <w:t xml:space="preserve">•  The base paper establishes the core technique for this problem domain. This project reuses that technique and extends it to the specific scope described in the abstract.</w:t>
      </w:r>
    </w:p>
    <w:sectPr>
      <w:pgSz w:w="11906" w:h="16838"/>
      <w:pgMar w:top="720" w:right="1080" w:bottom="720" w:left="108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