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09</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Graph Neural Network Analysis for Scalable Fake Profile Detection and Botnets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09</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Deep Learning &amp; Social Network Security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Batch-9.pdf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B. NagaLakshmi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23K91A0538</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D. Srivatshav</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23K91A0564</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A. Durga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23K91A0504</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B. Koushik</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23K91A0550</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rapid growth of Indian social platforms has triggered a surge in sophisticated fake profiles and automated botnets that threaten national security, user privacy, and digital trust. Traditional rule-based filters and classical machine learning models struggle to catch these threats because modern bot behaviors evolve too quickly. To solve this, a novel Graph Neural Network (GNN) framework maps entire social ecosystems into relational data graphs, treating user accounts as nodes and interactions—like likes, comments, and follows—as connecting edges. By deploying advanced GCN, GAT, and GraphSAGE architectures, the system extracts deep structural embeddings and fuses them with behavioral data, including linguistic cues and temporal patterns. This approach significantly outperforms conventional classifiers, delivering higher precision and F1-scores on highly imbalanced fraud datasets to expose hidden, coordinated bot communities. Ultimately, this scalable and adaptive architecture is purpose-built to uncover relational anomalies, offering a robust security solution for massive, localized Indian platforms such as ShareChat and Moj.</w:t>
            </w:r>
          </w:p>
          <w:p>
            <w:pPr>
              <w:spacing w:before="160" w:after="0"/>
            </w:pPr>
            <w:r>
              <w:rPr>
                <w:rFonts w:ascii="Calibri" w:hAnsi="Calibri"/>
                <w:b/>
                <w:color w:val="1B365D"/>
                <w:sz w:val="19"/>
              </w:rPr>
              <w:t xml:space="preserve">Keywords: </w:t>
            </w:r>
            <w:r>
              <w:rPr>
                <w:rFonts w:ascii="Calibri" w:hAnsi="Calibri"/>
                <w:i/>
                <w:color w:val="262626"/>
                <w:sz w:val="19"/>
              </w:rPr>
              <w:t>Graph Neural Networks (GNN), Fake Profile Detection, Botnet Detection, Graph Convolutional Networks (GCN), Graph Attention Networks (GAT), GraphSAGE, Social Network Analysis, Behavioral NLP.</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Graph Deep Learning Architectures</w:t>
      </w:r>
    </w:p>
    <w:p>
      <w:pPr>
        <w:pStyle w:val="ListBullet"/>
        <w:spacing w:before="20" w:after="40" w:line="276" w:lineRule="auto"/>
      </w:pPr>
      <w:r>
        <w:rPr>
          <w:rFonts w:ascii="Calibri" w:hAnsi="Calibri"/>
          <w:b/>
          <w:color w:val="262626"/>
          <w:sz w:val="20"/>
        </w:rPr>
        <w:t>GCN (Graph Convolutional Networks):</w:t>
      </w:r>
      <w:r>
        <w:rPr>
          <w:rFonts w:ascii="Calibri" w:hAnsi="Calibri"/>
          <w:color w:val="262626"/>
          <w:sz w:val="20"/>
        </w:rPr>
        <w:t xml:space="preserve"> Captures localized neighborhood graph structures.</w:t>
      </w:r>
    </w:p>
    <w:p>
      <w:pPr>
        <w:pStyle w:val="ListBullet"/>
        <w:spacing w:before="20" w:after="40" w:line="276" w:lineRule="auto"/>
      </w:pPr>
      <w:r>
        <w:rPr>
          <w:rFonts w:ascii="Calibri" w:hAnsi="Calibri"/>
          <w:b/>
          <w:color w:val="262626"/>
          <w:sz w:val="20"/>
        </w:rPr>
        <w:t>GAT (Graph Attention Networks):</w:t>
      </w:r>
      <w:r>
        <w:rPr>
          <w:rFonts w:ascii="Calibri" w:hAnsi="Calibri"/>
          <w:color w:val="262626"/>
          <w:sz w:val="20"/>
        </w:rPr>
        <w:t xml:space="preserve"> Computes dynamic self-attention weights across edge connections to identify astroturfing rings.</w:t>
      </w:r>
    </w:p>
    <w:p>
      <w:pPr>
        <w:pStyle w:val="ListBullet"/>
        <w:spacing w:before="20" w:after="40" w:line="276" w:lineRule="auto"/>
      </w:pPr>
      <w:r>
        <w:rPr>
          <w:rFonts w:ascii="Calibri" w:hAnsi="Calibri"/>
          <w:b/>
          <w:color w:val="262626"/>
          <w:sz w:val="20"/>
        </w:rPr>
        <w:t>GraphSAGE (Sample and Aggregate):</w:t>
      </w:r>
      <w:r>
        <w:rPr>
          <w:rFonts w:ascii="Calibri" w:hAnsi="Calibri"/>
          <w:color w:val="262626"/>
          <w:sz w:val="20"/>
        </w:rPr>
        <w:t xml:space="preserve"> Enables inductive node representation learning scalable to millions of active nodes.</w:t>
      </w:r>
    </w:p>
    <w:p>
      <w:pPr>
        <w:spacing w:before="160" w:after="40"/>
      </w:pPr>
      <w:r>
        <w:rPr>
          <w:rFonts w:ascii="Calibri" w:hAnsi="Calibri"/>
          <w:b/>
          <w:color w:val="2E75B6"/>
          <w:sz w:val="22"/>
        </w:rPr>
        <w:t>Multi-Modal Feature Fusion</w:t>
      </w:r>
    </w:p>
    <w:p>
      <w:pPr>
        <w:pStyle w:val="ListBullet"/>
        <w:spacing w:before="20" w:after="40" w:line="276" w:lineRule="auto"/>
      </w:pPr>
      <w:r>
        <w:rPr>
          <w:rFonts w:ascii="Calibri" w:hAnsi="Calibri"/>
          <w:b/>
          <w:color w:val="262626"/>
          <w:sz w:val="20"/>
        </w:rPr>
        <w:t>Topological Embeddings:</w:t>
      </w:r>
      <w:r>
        <w:rPr>
          <w:rFonts w:ascii="Calibri" w:hAnsi="Calibri"/>
          <w:color w:val="262626"/>
          <w:sz w:val="20"/>
        </w:rPr>
        <w:t xml:space="preserve"> Node degree, centrality, clustering coefficient, and subgraph connectivity.</w:t>
      </w:r>
    </w:p>
    <w:p>
      <w:pPr>
        <w:pStyle w:val="ListBullet"/>
        <w:spacing w:before="20" w:after="40" w:line="276" w:lineRule="auto"/>
      </w:pPr>
      <w:r>
        <w:rPr>
          <w:rFonts w:ascii="Calibri" w:hAnsi="Calibri"/>
          <w:b/>
          <w:color w:val="262626"/>
          <w:sz w:val="20"/>
        </w:rPr>
        <w:t>Behavioral &amp; Temporal Signals:</w:t>
      </w:r>
      <w:r>
        <w:rPr>
          <w:rFonts w:ascii="Calibri" w:hAnsi="Calibri"/>
          <w:color w:val="262626"/>
          <w:sz w:val="20"/>
        </w:rPr>
        <w:t xml:space="preserve"> Post frequency, burstiness of follow actions, and diurnal activity distributions.</w:t>
      </w:r>
    </w:p>
    <w:p>
      <w:pPr>
        <w:pStyle w:val="ListBullet"/>
        <w:spacing w:before="20" w:after="40" w:line="276" w:lineRule="auto"/>
      </w:pPr>
      <w:r>
        <w:rPr>
          <w:rFonts w:ascii="Calibri" w:hAnsi="Calibri"/>
          <w:b/>
          <w:color w:val="262626"/>
          <w:sz w:val="20"/>
        </w:rPr>
        <w:t>Linguistic Indicators:</w:t>
      </w:r>
      <w:r>
        <w:rPr>
          <w:rFonts w:ascii="Calibri" w:hAnsi="Calibri"/>
          <w:color w:val="262626"/>
          <w:sz w:val="20"/>
        </w:rPr>
        <w:t xml:space="preserve"> Repetitive message semantics, toxicity, and sentiment uniformity.</w:t>
      </w:r>
    </w:p>
    <w:p>
      <w:pPr>
        <w:spacing w:before="160" w:after="40"/>
      </w:pPr>
      <w:r>
        <w:rPr>
          <w:rFonts w:ascii="Calibri" w:hAnsi="Calibri"/>
          <w:b/>
          <w:color w:val="2E75B6"/>
          <w:sz w:val="22"/>
        </w:rPr>
        <w:t>Application Scope</w:t>
      </w:r>
    </w:p>
    <w:p>
      <w:pPr>
        <w:spacing w:before="40" w:after="80" w:line="276" w:lineRule="auto"/>
        <w:jc w:val="both"/>
      </w:pPr>
      <w:r>
        <w:rPr>
          <w:rFonts w:ascii="Calibri" w:hAnsi="Calibri"/>
          <w:color w:val="262626"/>
          <w:sz w:val="20"/>
        </w:rPr>
        <w:t>Scalable security defense for large-scale vernacular Indian social media ecosystems (ShareChat, Moj, Koo).</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