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Details: Batch A14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Customer Churn Prediction in Telecom Industry (Machine Learning Based Customer Retention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Details: Batch A14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&amp; Customer Analytics (CSE)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BATCH-14.pptx (PPTX Presentation (14 Slides))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B. Srikanth (Assistant Professor, Dept of CSE)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Anantula Sai Nikhila Sravani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Avula Anudeep</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23K91A0518</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Boda Sandeep</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24K95A0503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Daragani Vinod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23K91A0558</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Customer churn prediction is an important machine learning application in the telecom industry. Customer churn occurs when customers stop using a company's services and switch to another provider. Since losing customers affects a company's revenue, predicting churn helps businesses take early action to retain valuable customers.</w:t>
            </w:r>
          </w:p>
          <w:p>
            <w:pPr>
              <w:spacing w:before="80" w:after="120" w:line="276" w:lineRule="auto"/>
              <w:jc w:val="both"/>
            </w:pPr>
            <w:r>
              <w:rPr>
                <w:rFonts w:ascii="Calibri" w:hAnsi="Calibri"/>
                <w:color w:val="262626"/>
                <w:sz w:val="20"/>
              </w:rPr>
              <w:t>The main objective of this project is to predict whether a customer is likely to stay or leave by analyzing customer data such as tenure, monthly charges, contract type, internet service, and payment method. The dataset is cleaned, preprocessed, and analyzed using Exploratory Data Analysis (EDA). Machine learning algorithms such as Logistic Regression, Decision Tree, and Random Forest are then used to build and evaluate prediction models.</w:t>
            </w:r>
          </w:p>
          <w:p>
            <w:pPr>
              <w:spacing w:before="80" w:after="120" w:line="276" w:lineRule="auto"/>
              <w:jc w:val="both"/>
            </w:pPr>
            <w:r>
              <w:rPr>
                <w:rFonts w:ascii="Calibri" w:hAnsi="Calibri"/>
                <w:color w:val="262626"/>
                <w:sz w:val="20"/>
              </w:rPr>
              <w:t>The best-performing model is selected based on evaluation metrics like accuracy, precision, recall, and F1-score. This model helps telecom companies identify customers who are at risk of leaving and take preventive actions, such as offering better plans or improving customer service.</w:t>
            </w:r>
          </w:p>
          <w:p>
            <w:pPr>
              <w:spacing w:before="80" w:after="120" w:line="276" w:lineRule="auto"/>
              <w:jc w:val="both"/>
            </w:pPr>
            <w:r>
              <w:rPr>
                <w:rFonts w:ascii="Calibri" w:hAnsi="Calibri"/>
                <w:color w:val="262626"/>
                <w:sz w:val="20"/>
              </w:rPr>
              <w:t>Overall, this project shows how machine learning can help telecom companies reduce customer churn, improve customer satisfaction, and support better business decisions.</w:t>
            </w:r>
          </w:p>
          <w:p>
            <w:pPr>
              <w:spacing w:before="160" w:after="0"/>
            </w:pPr>
            <w:r>
              <w:rPr>
                <w:rFonts w:ascii="Calibri" w:hAnsi="Calibri"/>
                <w:b/>
                <w:color w:val="1B365D"/>
                <w:sz w:val="19"/>
              </w:rPr>
              <w:t xml:space="preserve">Keywords: </w:t>
            </w:r>
            <w:r>
              <w:rPr>
                <w:rFonts w:ascii="Calibri" w:hAnsi="Calibri"/>
                <w:i/>
                <w:color w:val="262626"/>
                <w:sz w:val="19"/>
              </w:rPr>
              <w:t>Customer Churn Prediction, Machine Learning, Telecom Analytics, Customer Retention, Logistic Regression, Decision Tree, Random Forest, Exploratory Data Analysis (EDA).</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Problem Statement &amp; Motivation</w:t>
      </w:r>
    </w:p>
    <w:p>
      <w:pPr>
        <w:spacing w:before="40" w:after="80" w:line="276" w:lineRule="auto"/>
        <w:jc w:val="both"/>
      </w:pPr>
      <w:r>
        <w:rPr>
          <w:rFonts w:ascii="Calibri" w:hAnsi="Calibri"/>
          <w:color w:val="262626"/>
          <w:sz w:val="20"/>
        </w:rPr>
        <w:t>Customer churn leads directly to severe revenue loss for telecom operators. Acquiring new subscribers costs significantly more than retaining existing accounts. Churn drivers include high tariffs, suboptimal network coverage, rigid contracts, and poor customer support. Machine learning enables telecom providers to forecast customer departure risk in advance, permitting proactive discount offers and tailored plan interventions.</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Predict customer churn using machine learning classification techniques.</w:t>
      </w:r>
    </w:p>
    <w:p>
      <w:pPr>
        <w:pStyle w:val="ListBullet"/>
        <w:spacing w:before="20" w:after="40" w:line="276" w:lineRule="auto"/>
      </w:pPr>
      <w:r>
        <w:rPr>
          <w:rFonts w:ascii="Calibri" w:hAnsi="Calibri"/>
          <w:color w:val="262626"/>
          <w:sz w:val="20"/>
        </w:rPr>
        <w:t>2. Analyze customer demographic and service features to identify primary churn drivers.</w:t>
      </w:r>
    </w:p>
    <w:p>
      <w:pPr>
        <w:pStyle w:val="ListBullet"/>
        <w:spacing w:before="20" w:after="40" w:line="276" w:lineRule="auto"/>
      </w:pPr>
      <w:r>
        <w:rPr>
          <w:rFonts w:ascii="Calibri" w:hAnsi="Calibri"/>
          <w:color w:val="262626"/>
          <w:sz w:val="20"/>
        </w:rPr>
        <w:t>3. Preprocess and clean customer historical usage records.</w:t>
      </w:r>
    </w:p>
    <w:p>
      <w:pPr>
        <w:pStyle w:val="ListBullet"/>
        <w:spacing w:before="20" w:after="40" w:line="276" w:lineRule="auto"/>
      </w:pPr>
      <w:r>
        <w:rPr>
          <w:rFonts w:ascii="Calibri" w:hAnsi="Calibri"/>
          <w:color w:val="262626"/>
          <w:sz w:val="20"/>
        </w:rPr>
        <w:t>4. Compare multiple classification models (Logistic Regression, Decision Tree, Random Forest).</w:t>
      </w:r>
    </w:p>
    <w:p>
      <w:pPr>
        <w:pStyle w:val="ListBullet"/>
        <w:spacing w:before="20" w:after="40" w:line="276" w:lineRule="auto"/>
      </w:pPr>
      <w:r>
        <w:rPr>
          <w:rFonts w:ascii="Calibri" w:hAnsi="Calibri"/>
          <w:color w:val="262626"/>
          <w:sz w:val="20"/>
        </w:rPr>
        <w:t>5. Evaluate predictive models using Accuracy, Precision, Recall, F1-Score, and ROC-AUC.</w:t>
      </w:r>
    </w:p>
    <w:p>
      <w:pPr>
        <w:pStyle w:val="ListBullet"/>
        <w:spacing w:before="20" w:after="40" w:line="276" w:lineRule="auto"/>
      </w:pPr>
      <w:r>
        <w:rPr>
          <w:rFonts w:ascii="Calibri" w:hAnsi="Calibri"/>
          <w:color w:val="262626"/>
          <w:sz w:val="20"/>
        </w:rPr>
        <w:t>6. Segment high-risk churn subscribers for automated retention campaigns.</w:t>
      </w:r>
    </w:p>
    <w:p>
      <w:pPr>
        <w:pStyle w:val="ListBullet"/>
        <w:spacing w:before="20" w:after="40" w:line="276" w:lineRule="auto"/>
      </w:pPr>
      <w:r>
        <w:rPr>
          <w:rFonts w:ascii="Calibri" w:hAnsi="Calibri"/>
          <w:color w:val="262626"/>
          <w:sz w:val="20"/>
        </w:rPr>
        <w:t>7. Provide strategic business intelligence for telecom management.</w:t>
      </w:r>
    </w:p>
    <w:p>
      <w:pPr>
        <w:spacing w:before="160" w:after="40"/>
      </w:pPr>
      <w:r>
        <w:rPr>
          <w:rFonts w:ascii="Calibri" w:hAnsi="Calibri"/>
          <w:b/>
          <w:color w:val="2E75B6"/>
          <w:sz w:val="22"/>
        </w:rPr>
        <w:t>Proposed 8-Stage Methodology</w:t>
      </w:r>
    </w:p>
    <w:p>
      <w:pPr>
        <w:pStyle w:val="ListBullet"/>
        <w:spacing w:before="20" w:after="40" w:line="276" w:lineRule="auto"/>
      </w:pPr>
      <w:r>
        <w:rPr>
          <w:rFonts w:ascii="Calibri" w:hAnsi="Calibri"/>
          <w:b/>
          <w:color w:val="262626"/>
          <w:sz w:val="20"/>
        </w:rPr>
        <w:t>Stage 1 - Data Collection:</w:t>
      </w:r>
      <w:r>
        <w:rPr>
          <w:rFonts w:ascii="Calibri" w:hAnsi="Calibri"/>
          <w:color w:val="262626"/>
          <w:sz w:val="20"/>
        </w:rPr>
        <w:t xml:space="preserve"> Aggregating historical subscriber contracts and usage metrics.</w:t>
      </w:r>
    </w:p>
    <w:p>
      <w:pPr>
        <w:pStyle w:val="ListBullet"/>
        <w:spacing w:before="20" w:after="40" w:line="276" w:lineRule="auto"/>
      </w:pPr>
      <w:r>
        <w:rPr>
          <w:rFonts w:ascii="Calibri" w:hAnsi="Calibri"/>
          <w:b/>
          <w:color w:val="262626"/>
          <w:sz w:val="20"/>
        </w:rPr>
        <w:t>Stage 2 - Data Preprocessing:</w:t>
      </w:r>
      <w:r>
        <w:rPr>
          <w:rFonts w:ascii="Calibri" w:hAnsi="Calibri"/>
          <w:color w:val="262626"/>
          <w:sz w:val="20"/>
        </w:rPr>
        <w:t xml:space="preserve"> Imputing null values, removing duplicates, and one-hot encoding.</w:t>
      </w:r>
    </w:p>
    <w:p>
      <w:pPr>
        <w:pStyle w:val="ListBullet"/>
        <w:spacing w:before="20" w:after="40" w:line="276" w:lineRule="auto"/>
      </w:pPr>
      <w:r>
        <w:rPr>
          <w:rFonts w:ascii="Calibri" w:hAnsi="Calibri"/>
          <w:color w:val="262626"/>
          <w:sz w:val="20"/>
        </w:rPr>
        <w:t>Stage 3 - Exploratory Data Analysis (EDA): Visualizing tenure distributions and churn correlations.</w:t>
      </w:r>
    </w:p>
    <w:p>
      <w:pPr>
        <w:pStyle w:val="ListBullet"/>
        <w:spacing w:before="20" w:after="40" w:line="276" w:lineRule="auto"/>
      </w:pPr>
      <w:r>
        <w:rPr>
          <w:rFonts w:ascii="Calibri" w:hAnsi="Calibri"/>
          <w:b/>
          <w:color w:val="262626"/>
          <w:sz w:val="20"/>
        </w:rPr>
        <w:t>Stage 4 - Feature Engineering:</w:t>
      </w:r>
      <w:r>
        <w:rPr>
          <w:rFonts w:ascii="Calibri" w:hAnsi="Calibri"/>
          <w:color w:val="262626"/>
          <w:sz w:val="20"/>
        </w:rPr>
        <w:t xml:space="preserve"> Scaling continuous variables and selecting optimal predictors.</w:t>
      </w:r>
    </w:p>
    <w:p>
      <w:pPr>
        <w:pStyle w:val="ListBullet"/>
        <w:spacing w:before="20" w:after="40" w:line="276" w:lineRule="auto"/>
      </w:pPr>
      <w:r>
        <w:rPr>
          <w:rFonts w:ascii="Calibri" w:hAnsi="Calibri"/>
          <w:b/>
          <w:color w:val="262626"/>
          <w:sz w:val="20"/>
        </w:rPr>
        <w:t>Stage 5 - Train-Test Partitioning:</w:t>
      </w:r>
      <w:r>
        <w:rPr>
          <w:rFonts w:ascii="Calibri" w:hAnsi="Calibri"/>
          <w:color w:val="262626"/>
          <w:sz w:val="20"/>
        </w:rPr>
        <w:t xml:space="preserve"> Splitting dataset into training (80%) and test (20%) subsets.</w:t>
      </w:r>
    </w:p>
    <w:p>
      <w:pPr>
        <w:pStyle w:val="ListBullet"/>
        <w:spacing w:before="20" w:after="40" w:line="276" w:lineRule="auto"/>
      </w:pPr>
      <w:r>
        <w:rPr>
          <w:rFonts w:ascii="Calibri" w:hAnsi="Calibri"/>
          <w:b/>
          <w:color w:val="262626"/>
          <w:sz w:val="20"/>
        </w:rPr>
        <w:t>Stage 6 - Model Training:</w:t>
      </w:r>
      <w:r>
        <w:rPr>
          <w:rFonts w:ascii="Calibri" w:hAnsi="Calibri"/>
          <w:color w:val="262626"/>
          <w:sz w:val="20"/>
        </w:rPr>
        <w:t xml:space="preserve"> Training Logistic Regression, Decision Trees, and Random Forest.</w:t>
      </w:r>
    </w:p>
    <w:p>
      <w:pPr>
        <w:pStyle w:val="ListBullet"/>
        <w:spacing w:before="20" w:after="40" w:line="276" w:lineRule="auto"/>
      </w:pPr>
      <w:r>
        <w:rPr>
          <w:rFonts w:ascii="Calibri" w:hAnsi="Calibri"/>
          <w:b/>
          <w:color w:val="262626"/>
          <w:sz w:val="20"/>
        </w:rPr>
        <w:t>Stage 7 - Model Benchmarking:</w:t>
      </w:r>
      <w:r>
        <w:rPr>
          <w:rFonts w:ascii="Calibri" w:hAnsi="Calibri"/>
          <w:color w:val="262626"/>
          <w:sz w:val="20"/>
        </w:rPr>
        <w:t xml:space="preserve"> Measuring Accuracy, Recall, Precision, and ROC-AUC.</w:t>
      </w:r>
    </w:p>
    <w:p>
      <w:pPr>
        <w:pStyle w:val="ListBullet"/>
        <w:spacing w:before="20" w:after="40" w:line="276" w:lineRule="auto"/>
      </w:pPr>
      <w:r>
        <w:rPr>
          <w:rFonts w:ascii="Calibri" w:hAnsi="Calibri"/>
          <w:b/>
          <w:color w:val="262626"/>
          <w:sz w:val="20"/>
        </w:rPr>
        <w:t>Stage 8 - Deployment &amp; Retention Action:</w:t>
      </w:r>
      <w:r>
        <w:rPr>
          <w:rFonts w:ascii="Calibri" w:hAnsi="Calibri"/>
          <w:color w:val="262626"/>
          <w:sz w:val="20"/>
        </w:rPr>
        <w:t xml:space="preserve"> Integrating model inference with retention strategies.</w:t>
      </w:r>
    </w:p>
    <w:p>
      <w:pPr>
        <w:spacing w:before="160" w:after="40"/>
      </w:pPr>
      <w:r>
        <w:rPr>
          <w:rFonts w:ascii="Calibri" w:hAnsi="Calibri"/>
          <w:b/>
          <w:color w:val="2E75B6"/>
          <w:sz w:val="22"/>
        </w:rPr>
        <w:t>System Architecture Pipeline</w:t>
      </w:r>
    </w:p>
    <w:p>
      <w:pPr>
        <w:spacing w:before="40" w:after="80" w:line="276" w:lineRule="auto"/>
        <w:jc w:val="both"/>
      </w:pPr>
      <w:r>
        <w:rPr>
          <w:rFonts w:ascii="Calibri" w:hAnsi="Calibri"/>
          <w:color w:val="262626"/>
          <w:sz w:val="20"/>
        </w:rPr>
        <w:t>Customer Data -&gt; Data Preprocessing -&gt; Feature Engineering -&gt; Machine Learning Models -&gt; Model Evaluation -&gt; Churn Prediction -&gt; Retention Strategy</w:t>
      </w:r>
    </w:p>
    <w:p>
      <w:pPr>
        <w:spacing w:before="160" w:after="40"/>
      </w:pPr>
      <w:r>
        <w:rPr>
          <w:rFonts w:ascii="Calibri" w:hAnsi="Calibri"/>
          <w:b/>
          <w:color w:val="2E75B6"/>
          <w:sz w:val="22"/>
        </w:rPr>
        <w:t>Technology &amp; Software Stack</w:t>
      </w:r>
    </w:p>
    <w:p>
      <w:pPr>
        <w:pStyle w:val="ListBullet"/>
        <w:spacing w:before="20" w:after="40" w:line="276" w:lineRule="auto"/>
      </w:pPr>
      <w:r>
        <w:rPr>
          <w:rFonts w:ascii="Calibri" w:hAnsi="Calibri"/>
          <w:b/>
          <w:color w:val="262626"/>
          <w:sz w:val="20"/>
        </w:rPr>
        <w:t xml:space="preserve">Frontend Technologies: </w:t>
      </w:r>
      <w:r>
        <w:rPr>
          <w:rFonts w:ascii="Calibri" w:hAnsi="Calibri"/>
          <w:color w:val="262626"/>
          <w:sz w:val="20"/>
        </w:rPr>
        <w:t>HTML5, CSS3, JavaScript</w:t>
      </w:r>
    </w:p>
    <w:p>
      <w:pPr>
        <w:pStyle w:val="ListBullet"/>
        <w:spacing w:before="20" w:after="40" w:line="276" w:lineRule="auto"/>
      </w:pPr>
      <w:r>
        <w:rPr>
          <w:rFonts w:ascii="Calibri" w:hAnsi="Calibri"/>
          <w:b/>
          <w:color w:val="262626"/>
          <w:sz w:val="20"/>
        </w:rPr>
        <w:t xml:space="preserve">Backend &amp; Data Science: </w:t>
      </w:r>
      <w:r>
        <w:rPr>
          <w:rFonts w:ascii="Calibri" w:hAnsi="Calibri"/>
          <w:color w:val="262626"/>
          <w:sz w:val="20"/>
        </w:rPr>
        <w:t>Python, Django, Pandas, NumPy, MySQL</w:t>
      </w:r>
    </w:p>
    <w:p>
      <w:pPr>
        <w:pStyle w:val="ListBullet"/>
        <w:spacing w:before="20" w:after="40" w:line="276" w:lineRule="auto"/>
      </w:pPr>
      <w:r>
        <w:rPr>
          <w:rFonts w:ascii="Calibri" w:hAnsi="Calibri"/>
          <w:b/>
          <w:color w:val="262626"/>
          <w:sz w:val="20"/>
        </w:rPr>
        <w:t xml:space="preserve">Development &amp; Version Control: </w:t>
      </w:r>
      <w:r>
        <w:rPr>
          <w:rFonts w:ascii="Calibri" w:hAnsi="Calibri"/>
          <w:color w:val="262626"/>
          <w:sz w:val="20"/>
        </w:rPr>
        <w:t>Visual Studio Code, Jupyter Notebook, Git &amp; GitHub</w:t>
      </w:r>
    </w:p>
    <w:p>
      <w:pPr>
        <w:spacing w:before="160" w:after="40"/>
      </w:pPr>
      <w:r>
        <w:rPr>
          <w:rFonts w:ascii="Calibri" w:hAnsi="Calibri"/>
          <w:b/>
          <w:color w:val="2E75B6"/>
          <w:sz w:val="22"/>
        </w:rPr>
        <w:t>Existing System vs. Proposed System</w:t>
      </w:r>
    </w:p>
    <w:p>
      <w:pPr>
        <w:pStyle w:val="ListBullet"/>
        <w:spacing w:before="20" w:after="40" w:line="276" w:lineRule="auto"/>
      </w:pPr>
      <w:r>
        <w:rPr>
          <w:rFonts w:ascii="Calibri" w:hAnsi="Calibri"/>
          <w:b/>
          <w:color w:val="262626"/>
          <w:sz w:val="20"/>
        </w:rPr>
        <w:t>Existing System:</w:t>
      </w:r>
      <w:r>
        <w:rPr>
          <w:rFonts w:ascii="Calibri" w:hAnsi="Calibri"/>
          <w:color w:val="262626"/>
          <w:sz w:val="20"/>
        </w:rPr>
        <w:t xml:space="preserve"> Relies on manual analysis and rigid heuristic business rules, slow for large datasets, low accuracy, cannot uncover hidden non-linear customer behaviors.</w:t>
      </w:r>
    </w:p>
    <w:p>
      <w:pPr>
        <w:pStyle w:val="ListBullet"/>
        <w:spacing w:before="20" w:after="40" w:line="276" w:lineRule="auto"/>
      </w:pPr>
      <w:r>
        <w:rPr>
          <w:rFonts w:ascii="Calibri" w:hAnsi="Calibri"/>
          <w:b/>
          <w:color w:val="262626"/>
          <w:sz w:val="20"/>
        </w:rPr>
        <w:t>Proposed System:</w:t>
      </w:r>
      <w:r>
        <w:rPr>
          <w:rFonts w:ascii="Calibri" w:hAnsi="Calibri"/>
          <w:color w:val="262626"/>
          <w:sz w:val="20"/>
        </w:rPr>
        <w:t xml:space="preserve"> Automated high-throughput ML pipelines, high predictive recall, early churn alerts, personalized plan recommendations.</w:t>
      </w:r>
    </w:p>
    <w:p>
      <w:pPr>
        <w:spacing w:before="160" w:after="40"/>
      </w:pPr>
      <w:r>
        <w:rPr>
          <w:rFonts w:ascii="Calibri" w:hAnsi="Calibri"/>
          <w:b/>
          <w:color w:val="2E75B6"/>
          <w:sz w:val="22"/>
        </w:rPr>
        <w:t>Future Scope</w:t>
      </w:r>
    </w:p>
    <w:p>
      <w:pPr>
        <w:spacing w:before="40" w:after="80" w:line="276" w:lineRule="auto"/>
        <w:jc w:val="both"/>
      </w:pPr>
      <w:r>
        <w:rPr>
          <w:rFonts w:ascii="Calibri" w:hAnsi="Calibri"/>
          <w:color w:val="262626"/>
          <w:sz w:val="20"/>
        </w:rPr>
        <w:t>Continuous real-time stream churn scoring, probability risk scoring, CRM software API integration, Explainable AI (SHAP/LIME) dashboards, and cloud-native serverless deployment.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