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center"/>
      </w:pPr>
      <w:r>
        <w:rPr>
          <w:rFonts w:ascii="Calibri" w:hAnsi="Calibri"/>
          <w:b/>
          <w:color w:val="2E75B6"/>
          <w:sz w:val="21"/>
        </w:rPr>
        <w:t>TKR COLLEGE OF ENGINEERING &amp; TECHNOLOGY (AUTONOMOUS)</w:t>
      </w:r>
    </w:p>
    <w:p>
      <w:pPr>
        <w:spacing w:after="240" w:before="0"/>
        <w:jc w:val="center"/>
      </w:pPr>
      <w:r>
        <w:rPr>
          <w:rFonts w:ascii="Calibri" w:hAnsi="Calibri"/>
          <w:b/>
          <w:color w:val="595959"/>
          <w:sz w:val="19"/>
        </w:rPr>
        <w:t>Department of Computer Science and Engineering  |  Batch No: C-12</w:t>
      </w:r>
    </w:p>
    <w:p>
      <w:pPr>
        <w:spacing w:before="80" w:after="40"/>
        <w:jc w:val="center"/>
      </w:pPr>
      <w:r>
        <w:rPr>
          <w:rFonts w:ascii="Calibri" w:hAnsi="Calibri"/>
          <w:b/>
          <w:color w:val="2E75B6"/>
          <w:sz w:val="20"/>
        </w:rPr>
        <w:t>PROJECT TITLE</w:t>
      </w:r>
    </w:p>
    <w:p>
      <w:pPr>
        <w:spacing w:before="40" w:after="280" w:line="276" w:lineRule="auto"/>
        <w:jc w:val="center"/>
      </w:pPr>
      <w:r>
        <w:rPr>
          <w:rFonts w:ascii="Calibri" w:hAnsi="Calibri"/>
          <w:b/>
          <w:color w:val="1B365D"/>
          <w:sz w:val="32"/>
        </w:rPr>
        <w:t>SymptoTrackAI: Hybrid RAG Based Symptom Tracking and Health Monitoring System</w:t>
      </w:r>
    </w:p>
    <w:tbl>
      <w:tblPr>
        <w:tblW w:type="auto" w:w="0"/>
        <w:jc w:val="center"/>
        <w:tblLayout w:type="fixed"/>
        <w:tblLook w:firstColumn="1" w:firstRow="1" w:lastColumn="0" w:lastRow="0" w:noHBand="0" w:noVBand="1" w:val="04A0"/>
        <w:tblBorders>
          <w:top w:val="single" w:sz="4" w:space="0" w:color="D0D7DE"/>
          <w:bottom w:val="single" w:sz="4" w:space="0" w:color="D0D7DE"/>
          <w:insideH w:val="single" w:sz="4" w:space="0" w:color="D0D7DE"/>
          <w:left w:val="none"/>
          <w:right w:val="none"/>
          <w:insideV w:val="none"/>
        </w:tblBorders>
      </w:tblPr>
      <w:tblGrid>
        <w:gridCol w:w="4680"/>
        <w:gridCol w:w="4680"/>
      </w:tblGrid>
      <w:tr>
        <w:tc>
          <w:tcPr>
            <w:tcW w:type="dxa" w:w="2592"/>
            <w:shd w:fill="F0F4F8"/>
            <w:tcMar>
              <w:top w:w="80" w:type="dxa"/>
              <w:bottom w:w="80" w:type="dxa"/>
              <w:left w:w="120" w:type="dxa"/>
              <w:right w:w="120" w:type="dxa"/>
            </w:tcMar>
          </w:tcPr>
          <w:p>
            <w:pPr>
              <w:spacing w:after="0"/>
            </w:pPr>
            <w:r>
              <w:rPr>
                <w:rFonts w:ascii="Calibri" w:hAnsi="Calibri"/>
                <w:b/>
                <w:color w:val="1B365D"/>
                <w:sz w:val="19"/>
              </w:rPr>
              <w:t>Batch Identifier</w:t>
            </w:r>
          </w:p>
        </w:tc>
        <w:tc>
          <w:tcPr>
            <w:tcW w:type="dxa" w:w="6768"/>
            <w:shd w:fill="FAFCFF"/>
            <w:tcMar>
              <w:top w:w="80" w:type="dxa"/>
              <w:bottom w:w="80" w:type="dxa"/>
              <w:left w:w="120" w:type="dxa"/>
              <w:right w:w="120" w:type="dxa"/>
            </w:tcMar>
          </w:tcPr>
          <w:p>
            <w:pPr>
              <w:spacing w:after="0"/>
            </w:pPr>
            <w:r>
              <w:rPr>
                <w:rFonts w:ascii="Calibri" w:hAnsi="Calibri"/>
                <w:color w:val="262626"/>
                <w:sz w:val="19"/>
              </w:rPr>
              <w:t>Batch No: C-12</w:t>
            </w:r>
          </w:p>
        </w:tc>
      </w:tr>
      <w:tr>
        <w:tc>
          <w:tcPr>
            <w:tcW w:type="dxa" w:w="2592"/>
            <w:shd w:fill="F0F4F8"/>
            <w:tcMar>
              <w:top w:w="80" w:type="dxa"/>
              <w:bottom w:w="80" w:type="dxa"/>
              <w:left w:w="120" w:type="dxa"/>
              <w:right w:w="120" w:type="dxa"/>
            </w:tcMar>
          </w:tcPr>
          <w:p>
            <w:pPr>
              <w:spacing w:after="0"/>
            </w:pPr>
            <w:r>
              <w:rPr>
                <w:rFonts w:ascii="Calibri" w:hAnsi="Calibri"/>
                <w:b/>
                <w:color w:val="1B365D"/>
                <w:sz w:val="19"/>
              </w:rPr>
              <w:t>Academic Branch</w:t>
            </w:r>
          </w:p>
        </w:tc>
        <w:tc>
          <w:tcPr>
            <w:tcW w:type="dxa" w:w="6768"/>
            <w:shd w:fill="FAFCFF"/>
            <w:tcMar>
              <w:top w:w="80" w:type="dxa"/>
              <w:bottom w:w="80" w:type="dxa"/>
              <w:left w:w="120" w:type="dxa"/>
              <w:right w:w="120" w:type="dxa"/>
            </w:tcMar>
          </w:tcPr>
          <w:p>
            <w:pPr>
              <w:spacing w:after="0"/>
            </w:pPr>
            <w:r>
              <w:rPr>
                <w:rFonts w:ascii="Calibri" w:hAnsi="Calibri"/>
                <w:color w:val="262626"/>
                <w:sz w:val="19"/>
              </w:rPr>
              <w:t>Computer Science and Engineering (CSE-C)</w:t>
            </w:r>
          </w:p>
        </w:tc>
      </w:tr>
      <w:tr>
        <w:tc>
          <w:tcPr>
            <w:tcW w:type="dxa" w:w="2592"/>
            <w:shd w:fill="F0F4F8"/>
            <w:tcMar>
              <w:top w:w="80" w:type="dxa"/>
              <w:bottom w:w="80" w:type="dxa"/>
              <w:left w:w="120" w:type="dxa"/>
              <w:right w:w="120" w:type="dxa"/>
            </w:tcMar>
          </w:tcPr>
          <w:p>
            <w:pPr>
              <w:spacing w:after="0"/>
            </w:pPr>
            <w:r>
              <w:rPr>
                <w:rFonts w:ascii="Calibri" w:hAnsi="Calibri"/>
                <w:b/>
                <w:color w:val="1B365D"/>
                <w:sz w:val="19"/>
              </w:rPr>
              <w:t>Project Domain</w:t>
            </w:r>
          </w:p>
        </w:tc>
        <w:tc>
          <w:tcPr>
            <w:tcW w:type="dxa" w:w="6768"/>
            <w:shd w:fill="FAFCFF"/>
            <w:tcMar>
              <w:top w:w="80" w:type="dxa"/>
              <w:bottom w:w="80" w:type="dxa"/>
              <w:left w:w="120" w:type="dxa"/>
              <w:right w:w="120" w:type="dxa"/>
            </w:tcMar>
          </w:tcPr>
          <w:p>
            <w:pPr>
              <w:spacing w:after="0"/>
            </w:pPr>
            <w:r>
              <w:rPr>
                <w:rFonts w:ascii="Calibri" w:hAnsi="Calibri"/>
                <w:color w:val="262626"/>
                <w:sz w:val="19"/>
              </w:rPr>
              <w:t>Artificial Intelligence, Machine Learning, Natural Language Processing, Healthcare Analytics</w:t>
            </w:r>
          </w:p>
        </w:tc>
      </w:tr>
      <w:tr>
        <w:tc>
          <w:tcPr>
            <w:tcW w:type="dxa" w:w="2592"/>
            <w:shd w:fill="F0F4F8"/>
            <w:tcMar>
              <w:top w:w="80" w:type="dxa"/>
              <w:bottom w:w="80" w:type="dxa"/>
              <w:left w:w="120" w:type="dxa"/>
              <w:right w:w="120" w:type="dxa"/>
            </w:tcMar>
          </w:tcPr>
          <w:p>
            <w:pPr>
              <w:spacing w:after="0"/>
            </w:pPr>
            <w:r>
              <w:rPr>
                <w:rFonts w:ascii="Calibri" w:hAnsi="Calibri"/>
                <w:b/>
                <w:color w:val="1B365D"/>
                <w:sz w:val="19"/>
              </w:rPr>
              <w:t>Original Source File</w:t>
            </w:r>
          </w:p>
        </w:tc>
        <w:tc>
          <w:tcPr>
            <w:tcW w:type="dxa" w:w="6768"/>
            <w:shd w:fill="FAFCFF"/>
            <w:tcMar>
              <w:top w:w="80" w:type="dxa"/>
              <w:bottom w:w="80" w:type="dxa"/>
              <w:left w:w="120" w:type="dxa"/>
              <w:right w:w="120" w:type="dxa"/>
            </w:tcMar>
          </w:tcPr>
          <w:p>
            <w:pPr>
              <w:spacing w:after="0"/>
            </w:pPr>
            <w:r>
              <w:rPr>
                <w:rFonts w:ascii="Calibri" w:hAnsi="Calibri"/>
                <w:color w:val="262626"/>
                <w:sz w:val="19"/>
              </w:rPr>
              <w:t>Batch 12.docx (DOCX Document)</w:t>
            </w:r>
          </w:p>
        </w:tc>
      </w:tr>
    </w:tbl>
    <w:p>
      <w:pPr>
        <w:spacing w:before="80" w:after="80"/>
      </w:pPr>
    </w:p>
    <w:p>
      <w:pPr>
        <w:spacing w:before="160" w:after="80"/>
      </w:pPr>
      <w:r>
        <w:rPr>
          <w:rFonts w:ascii="Calibri" w:hAnsi="Calibri"/>
          <w:b/>
          <w:color w:val="1B365D"/>
          <w:sz w:val="24"/>
        </w:rPr>
        <w:t>Project Team Members</w:t>
      </w:r>
    </w:p>
    <w:p>
      <w:r>
        <w:rPr>
          <w:rFonts w:ascii="Calibri" w:hAnsi="Calibri"/>
          <w:i/>
          <w:color w:val="595959"/>
          <w:sz w:val="19"/>
        </w:rPr>
        <w:t>Team member registration list pending batch allotment.</w:t>
      </w:r>
    </w:p>
    <w:p>
      <w:pPr>
        <w:spacing w:before="200" w:after="80"/>
      </w:pPr>
      <w:r>
        <w:rPr>
          <w:rFonts w:ascii="Calibri" w:hAnsi="Calibri"/>
          <w:b/>
          <w:color w:val="1B365D"/>
          <w:sz w:val="26"/>
        </w:rPr>
        <w:t>ABSTRACT</w:t>
      </w:r>
    </w:p>
    <w:tbl>
      <w:tblPr>
        <w:tblW w:type="auto" w:w="0"/>
        <w:jc w:val="center"/>
        <w:tblLayout w:type="fixed"/>
        <w:tblLook w:firstColumn="1" w:firstRow="1" w:lastColumn="0" w:lastRow="0" w:noHBand="0" w:noVBand="1" w:val="04A0"/>
      </w:tblPr>
      <w:tblGrid>
        <w:gridCol w:w="9360"/>
      </w:tblGrid>
      <w:tr>
        <w:tc>
          <w:tcPr>
            <w:tcW w:type="dxa" w:w="9360"/>
            <w:shd w:fill="F9FBFC"/>
            <w:tcBorders>
              <w:top w:val="none"/>
              <w:left w:val="single" w:sz="36" w:space="0" w:color="1B365D"/>
              <w:bottom w:val="none"/>
              <w:right w:val="none"/>
            </w:tcBorders>
            <w:tcMar>
              <w:top w:w="140" w:type="dxa"/>
              <w:bottom w:w="140" w:type="dxa"/>
              <w:left w:w="180" w:type="dxa"/>
              <w:right w:w="160" w:type="dxa"/>
            </w:tcMar>
          </w:tcPr>
          <w:p>
            <w:pPr>
              <w:spacing w:before="0" w:after="120" w:line="276" w:lineRule="auto"/>
              <w:jc w:val="both"/>
            </w:pPr>
            <w:r>
              <w:rPr>
                <w:rFonts w:ascii="Calibri" w:hAnsi="Calibri"/>
                <w:color w:val="262626"/>
                <w:sz w:val="20"/>
              </w:rPr>
              <w:t>Healthcare systems often face challenges such as delayed diagnosis, limited accessibility, and the lack of personalized health monitoring. With the rapid advancements in Artificial Intelligence (AI) and Natural Language Processing (NLP), intelligent healthcare assistants have emerged as effective solutions for improving patient engagement and symptom analysis.</w:t>
            </w:r>
          </w:p>
          <w:p>
            <w:pPr>
              <w:spacing w:before="80" w:after="120" w:line="276" w:lineRule="auto"/>
              <w:jc w:val="both"/>
            </w:pPr>
            <w:r>
              <w:rPr>
                <w:rFonts w:ascii="Calibri" w:hAnsi="Calibri"/>
                <w:color w:val="262626"/>
                <w:sz w:val="20"/>
              </w:rPr>
              <w:t>This project focuses on developing SymptoTrackAI, a Hybrid Retrieval-Augmented Generation (RAG)-based symptom tracking and health monitoring system. The proposed system enables users to input symptoms through a conversational chatbot interface and receive AI-driven health insights in real time. The system integrates FAISS-based semantic search, Query Expansion (HyDE), and Neural Reranking techniques to retrieve relevant medical information and generate accurate, context-aware responses. By analyzing symptom patterns, potential triggers, and historical symptom logs, the system provides personalized recommendations and preliminary health assessments.</w:t>
            </w:r>
          </w:p>
          <w:p>
            <w:pPr>
              <w:spacing w:before="80" w:after="120" w:line="276" w:lineRule="auto"/>
              <w:jc w:val="both"/>
            </w:pPr>
            <w:r>
              <w:rPr>
                <w:rFonts w:ascii="Calibri" w:hAnsi="Calibri"/>
                <w:color w:val="262626"/>
                <w:sz w:val="20"/>
              </w:rPr>
              <w:t>The Hybrid RAG architecture combines retrieval and generative AI models to enhance prediction accuracy and reduce misinformation. Additionally, the platform supports secure symptom logging, real-time health monitoring, and privacy-preserving healthcare assistance. The solution is designed to improve early disease detection, assist in preventive healthcare, and support informed decision-making for users.</w:t>
            </w:r>
          </w:p>
          <w:p>
            <w:pPr>
              <w:spacing w:before="160" w:after="0"/>
            </w:pPr>
            <w:r>
              <w:rPr>
                <w:rFonts w:ascii="Calibri" w:hAnsi="Calibri"/>
                <w:b/>
                <w:color w:val="1B365D"/>
                <w:sz w:val="19"/>
              </w:rPr>
              <w:t xml:space="preserve">Keywords: </w:t>
            </w:r>
            <w:r>
              <w:rPr>
                <w:rFonts w:ascii="Calibri" w:hAnsi="Calibri"/>
                <w:i/>
                <w:color w:val="262626"/>
                <w:sz w:val="19"/>
              </w:rPr>
              <w:t>Hybrid RAG, Symptom Monitoring, Artificial Intelligence (AI), Machine Learning (ML), Natural Language Processing (NLP), FAISS Semantic Search, Neural Reranking, Query Expansion (HyDE), Healthcare Chatbot, Personalized Health Insights, Early Disease Detection, Healthcare Analytics.</w:t>
            </w:r>
          </w:p>
        </w:tc>
      </w:tr>
    </w:tbl>
    <w:p>
      <w:pPr>
        <w:spacing w:before="120" w:after="120"/>
      </w:pPr>
    </w:p>
    <w:p>
      <w:pPr>
        <w:spacing w:before="240" w:after="120"/>
      </w:pPr>
      <w:r>
        <w:rPr>
          <w:rFonts w:ascii="Calibri" w:hAnsi="Calibri"/>
          <w:b/>
          <w:color w:val="1B365D"/>
          <w:sz w:val="26"/>
        </w:rPr>
        <w:t>MISCELLANEOUS &amp; ADDITIONAL PROJECT DETAILS</w:t>
      </w:r>
    </w:p>
    <w:p>
      <w:pPr>
        <w:spacing w:before="160" w:after="40"/>
      </w:pPr>
      <w:r>
        <w:rPr>
          <w:rFonts w:ascii="Calibri" w:hAnsi="Calibri"/>
          <w:b/>
          <w:color w:val="2E75B6"/>
          <w:sz w:val="22"/>
        </w:rPr>
        <w:t>Hybrid RAG Architecture Components</w:t>
      </w:r>
    </w:p>
    <w:p>
      <w:pPr>
        <w:pStyle w:val="ListBullet"/>
        <w:spacing w:before="20" w:after="40" w:line="276" w:lineRule="auto"/>
      </w:pPr>
      <w:r>
        <w:rPr>
          <w:rFonts w:ascii="Calibri" w:hAnsi="Calibri"/>
          <w:b/>
          <w:color w:val="262626"/>
          <w:sz w:val="20"/>
        </w:rPr>
        <w:t>Conversational Chatbot Interface:</w:t>
      </w:r>
      <w:r>
        <w:rPr>
          <w:rFonts w:ascii="Calibri" w:hAnsi="Calibri"/>
          <w:color w:val="262626"/>
          <w:sz w:val="20"/>
        </w:rPr>
        <w:t xml:space="preserve"> Empathetic NLP agent gathering user symptom onset, severity, and duration.</w:t>
      </w:r>
    </w:p>
    <w:p>
      <w:pPr>
        <w:pStyle w:val="ListBullet"/>
        <w:spacing w:before="20" w:after="40" w:line="276" w:lineRule="auto"/>
      </w:pPr>
      <w:r>
        <w:rPr>
          <w:rFonts w:ascii="Calibri" w:hAnsi="Calibri"/>
          <w:b/>
          <w:color w:val="262626"/>
          <w:sz w:val="20"/>
        </w:rPr>
        <w:t>HyDE (Hypothetical Document Embeddings):</w:t>
      </w:r>
      <w:r>
        <w:rPr>
          <w:rFonts w:ascii="Calibri" w:hAnsi="Calibri"/>
          <w:color w:val="262626"/>
          <w:sz w:val="20"/>
        </w:rPr>
        <w:t xml:space="preserve"> Expands raw user queries into clinically descriptive medical vectors.</w:t>
      </w:r>
    </w:p>
    <w:p>
      <w:pPr>
        <w:pStyle w:val="ListBullet"/>
        <w:spacing w:before="20" w:after="40" w:line="276" w:lineRule="auto"/>
      </w:pPr>
      <w:r>
        <w:rPr>
          <w:rFonts w:ascii="Calibri" w:hAnsi="Calibri"/>
          <w:b/>
          <w:color w:val="262626"/>
          <w:sz w:val="20"/>
        </w:rPr>
        <w:t>FAISS Semantic Vector Search:</w:t>
      </w:r>
      <w:r>
        <w:rPr>
          <w:rFonts w:ascii="Calibri" w:hAnsi="Calibri"/>
          <w:color w:val="262626"/>
          <w:sz w:val="20"/>
        </w:rPr>
        <w:t xml:space="preserve"> Millisecond retrieval of authoritative medical literature and diagnosis guidelines.</w:t>
      </w:r>
    </w:p>
    <w:p>
      <w:pPr>
        <w:pStyle w:val="ListBullet"/>
        <w:spacing w:before="20" w:after="40" w:line="276" w:lineRule="auto"/>
      </w:pPr>
      <w:r>
        <w:rPr>
          <w:rFonts w:ascii="Calibri" w:hAnsi="Calibri"/>
          <w:b/>
          <w:color w:val="262626"/>
          <w:sz w:val="20"/>
        </w:rPr>
        <w:t>Neural Cross-Encoder Reranker:</w:t>
      </w:r>
      <w:r>
        <w:rPr>
          <w:rFonts w:ascii="Calibri" w:hAnsi="Calibri"/>
          <w:color w:val="262626"/>
          <w:sz w:val="20"/>
        </w:rPr>
        <w:t xml:space="preserve"> Ranks retrieved clinical passages to discard noise and hallucinations before LLM generation.</w:t>
      </w:r>
    </w:p>
    <w:p>
      <w:pPr>
        <w:spacing w:before="160" w:after="40"/>
      </w:pPr>
      <w:r>
        <w:rPr>
          <w:rFonts w:ascii="Calibri" w:hAnsi="Calibri"/>
          <w:b/>
          <w:color w:val="2E75B6"/>
          <w:sz w:val="22"/>
        </w:rPr>
        <w:t>Privacy &amp; Security Safeguards</w:t>
      </w:r>
    </w:p>
    <w:p>
      <w:pPr>
        <w:spacing w:before="40" w:after="80" w:line="276" w:lineRule="auto"/>
        <w:jc w:val="both"/>
      </w:pPr>
      <w:r>
        <w:rPr>
          <w:rFonts w:ascii="Calibri" w:hAnsi="Calibri"/>
          <w:color w:val="262626"/>
          <w:sz w:val="20"/>
        </w:rPr>
        <w:t>Encrypted patient symptom vaults, anonymous session identifiers, and clinical disclaimer guardrails.</w:t>
      </w:r>
    </w:p>
    <w:sectPr w:rsidR="00FC693F" w:rsidRPr="0006063C" w:rsidSect="00034616">
      <w:headerReference w:type="default" r:id="rId9"/>
      <w:footerReference w:type="default" r:id="rId10"/>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7"/>
      </w:rPr>
      <w:t>Major Project Synopsis &amp; Abstract Document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95959"/>
        <w:sz w:val="17"/>
      </w:rPr>
      <w:t>TKR College of Engineering &amp; Technology | Department of CSE | CSE-C Projects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