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Financial Identification Based On Demography and Financial Forecasting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Financial decisions depend on assessing an individual's economic position accurately.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Traditional scoring uses a narrow set of financial parameters and ignores demographic context.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Demographic factors such as age, occupation, region and household size shape financial behaviour.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captures non-linear interaction between demographic and financial variables.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Forecasting future position matters more than describing the present one.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Explainability is mandatory because financial decisions must be justified to the customer and the regulator.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