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06F4" w:rsidRDefault="002506F4">
      <w:pPr>
        <w:spacing w:after="480" w:line="240" w:lineRule="auto"/>
      </w:pPr>
      <w:bookmarkStart w:id="0" w:name="_GoBack"/>
      <w:bookmarkEnd w:id="0"/>
    </w:p>
    <w:p w:rsidR="002506F4" w:rsidRDefault="006C1167">
      <w:pPr>
        <w:spacing w:after="40"/>
        <w:jc w:val="center"/>
      </w:pPr>
      <w:r>
        <w:rPr>
          <w:rFonts w:cs="Times New Roman"/>
          <w:b/>
          <w:sz w:val="36"/>
        </w:rPr>
        <w:t>CUSTOMER CHURN PREDICTION IN TELECOM INDUSTRY</w:t>
      </w:r>
    </w:p>
    <w:p w:rsidR="002506F4" w:rsidRDefault="006C1167">
      <w:pPr>
        <w:jc w:val="center"/>
      </w:pPr>
      <w:r>
        <w:rPr>
          <w:rFonts w:cs="Times New Roman"/>
          <w:b/>
          <w:sz w:val="26"/>
        </w:rPr>
        <w:t>(Machine Learning Based Customer Retention System)</w:t>
      </w:r>
    </w:p>
    <w:p w:rsidR="002506F4" w:rsidRDefault="006C1167">
      <w:pPr>
        <w:spacing w:after="280"/>
        <w:jc w:val="center"/>
      </w:pPr>
      <w:r>
        <w:rPr>
          <w:rFonts w:cs="Times New Roman"/>
          <w:b/>
          <w:sz w:val="28"/>
        </w:rPr>
        <w:t>Conclusion, Future Scope and References</w:t>
      </w:r>
    </w:p>
    <w:p w:rsidR="002506F4" w:rsidRDefault="006C1167">
      <w:pPr>
        <w:spacing w:after="40"/>
        <w:jc w:val="center"/>
      </w:pPr>
      <w:r>
        <w:rPr>
          <w:rFonts w:cs="Times New Roman"/>
        </w:rPr>
        <w:t>Department of Computer Science and Engineering, TKR College of Engineering and Technology (Autonomous)</w:t>
      </w:r>
    </w:p>
    <w:p w:rsidR="002506F4" w:rsidRDefault="006C1167">
      <w:pPr>
        <w:spacing w:after="240"/>
        <w:jc w:val="center"/>
      </w:pPr>
      <w:r>
        <w:rPr>
          <w:rFonts w:cs="Times New Roman"/>
        </w:rPr>
        <w:t xml:space="preserve">Batch A14 </w:t>
      </w:r>
      <w:r>
        <w:rPr>
          <w:rFonts w:cs="Times New Roman"/>
        </w:rPr>
        <w:t>(CSE-A)  ·  Academic year [ACADEMIC YEAR]</w:t>
      </w:r>
    </w:p>
    <w:p w:rsidR="002506F4" w:rsidRDefault="006C116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506F4">
        <w:trPr>
          <w:cantSplit/>
          <w:tblHeader/>
          <w:jc w:val="center"/>
        </w:trPr>
        <w:tc>
          <w:tcPr>
            <w:tcW w:w="1008" w:type="dxa"/>
            <w:shd w:val="clear" w:color="auto" w:fill="1B2A41"/>
          </w:tcPr>
          <w:p w:rsidR="002506F4" w:rsidRDefault="006C1167">
            <w:pPr>
              <w:spacing w:after="40" w:line="240" w:lineRule="auto"/>
              <w:jc w:val="center"/>
            </w:pPr>
            <w:r>
              <w:rPr>
                <w:rFonts w:cs="Times New Roman"/>
                <w:b/>
                <w:color w:val="FFFFFF"/>
                <w:sz w:val="22"/>
              </w:rPr>
              <w:t>S.No.</w:t>
            </w:r>
          </w:p>
        </w:tc>
        <w:tc>
          <w:tcPr>
            <w:tcW w:w="4896" w:type="dxa"/>
            <w:shd w:val="clear" w:color="auto" w:fill="1B2A41"/>
          </w:tcPr>
          <w:p w:rsidR="002506F4" w:rsidRDefault="006C1167">
            <w:pPr>
              <w:spacing w:after="40" w:line="240" w:lineRule="auto"/>
              <w:jc w:val="center"/>
            </w:pPr>
            <w:r>
              <w:rPr>
                <w:rFonts w:cs="Times New Roman"/>
                <w:b/>
                <w:color w:val="FFFFFF"/>
                <w:sz w:val="22"/>
              </w:rPr>
              <w:t>Student name</w:t>
            </w:r>
          </w:p>
        </w:tc>
        <w:tc>
          <w:tcPr>
            <w:tcW w:w="2592" w:type="dxa"/>
            <w:shd w:val="clear" w:color="auto" w:fill="1B2A41"/>
          </w:tcPr>
          <w:p w:rsidR="002506F4" w:rsidRDefault="006C1167">
            <w:pPr>
              <w:spacing w:after="40" w:line="240" w:lineRule="auto"/>
              <w:jc w:val="center"/>
            </w:pPr>
            <w:r>
              <w:rPr>
                <w:rFonts w:cs="Times New Roman"/>
                <w:b/>
                <w:color w:val="FFFFFF"/>
                <w:sz w:val="22"/>
              </w:rPr>
              <w:t>Roll number</w:t>
            </w:r>
          </w:p>
        </w:tc>
      </w:tr>
      <w:tr w:rsidR="002506F4">
        <w:trPr>
          <w:cantSplit/>
          <w:jc w:val="center"/>
        </w:trPr>
        <w:tc>
          <w:tcPr>
            <w:tcW w:w="1008" w:type="dxa"/>
          </w:tcPr>
          <w:p w:rsidR="002506F4" w:rsidRDefault="006C1167">
            <w:pPr>
              <w:spacing w:after="40" w:line="240" w:lineRule="auto"/>
              <w:jc w:val="center"/>
            </w:pPr>
            <w:r>
              <w:rPr>
                <w:rFonts w:cs="Times New Roman"/>
                <w:sz w:val="22"/>
              </w:rPr>
              <w:t>1</w:t>
            </w:r>
          </w:p>
        </w:tc>
        <w:tc>
          <w:tcPr>
            <w:tcW w:w="4896" w:type="dxa"/>
          </w:tcPr>
          <w:p w:rsidR="002506F4" w:rsidRDefault="006C1167">
            <w:pPr>
              <w:spacing w:after="40" w:line="240" w:lineRule="auto"/>
              <w:jc w:val="left"/>
            </w:pPr>
            <w:r>
              <w:rPr>
                <w:rFonts w:cs="Times New Roman"/>
                <w:sz w:val="22"/>
              </w:rPr>
              <w:t>ANANTULA SAI NIKHILA SRAVANI</w:t>
            </w:r>
          </w:p>
        </w:tc>
        <w:tc>
          <w:tcPr>
            <w:tcW w:w="2592" w:type="dxa"/>
          </w:tcPr>
          <w:p w:rsidR="002506F4" w:rsidRDefault="006C1167">
            <w:pPr>
              <w:spacing w:after="40" w:line="240" w:lineRule="auto"/>
              <w:jc w:val="center"/>
            </w:pPr>
            <w:r>
              <w:rPr>
                <w:rFonts w:cs="Times New Roman"/>
                <w:sz w:val="22"/>
              </w:rPr>
              <w:t>23K91A0512</w:t>
            </w:r>
          </w:p>
        </w:tc>
      </w:tr>
      <w:tr w:rsidR="002506F4">
        <w:trPr>
          <w:cantSplit/>
          <w:jc w:val="center"/>
        </w:trPr>
        <w:tc>
          <w:tcPr>
            <w:tcW w:w="1008" w:type="dxa"/>
          </w:tcPr>
          <w:p w:rsidR="002506F4" w:rsidRDefault="006C1167">
            <w:pPr>
              <w:spacing w:after="40" w:line="240" w:lineRule="auto"/>
              <w:jc w:val="center"/>
            </w:pPr>
            <w:r>
              <w:rPr>
                <w:rFonts w:cs="Times New Roman"/>
                <w:sz w:val="22"/>
              </w:rPr>
              <w:t>2</w:t>
            </w:r>
          </w:p>
        </w:tc>
        <w:tc>
          <w:tcPr>
            <w:tcW w:w="4896" w:type="dxa"/>
          </w:tcPr>
          <w:p w:rsidR="002506F4" w:rsidRDefault="006C1167">
            <w:pPr>
              <w:spacing w:after="40" w:line="240" w:lineRule="auto"/>
              <w:jc w:val="left"/>
            </w:pPr>
            <w:r>
              <w:rPr>
                <w:rFonts w:cs="Times New Roman"/>
                <w:sz w:val="22"/>
              </w:rPr>
              <w:t>AVULA ANUDEEP</w:t>
            </w:r>
          </w:p>
        </w:tc>
        <w:tc>
          <w:tcPr>
            <w:tcW w:w="2592" w:type="dxa"/>
          </w:tcPr>
          <w:p w:rsidR="002506F4" w:rsidRDefault="006C1167">
            <w:pPr>
              <w:spacing w:after="40" w:line="240" w:lineRule="auto"/>
              <w:jc w:val="center"/>
            </w:pPr>
            <w:r>
              <w:rPr>
                <w:rFonts w:cs="Times New Roman"/>
                <w:sz w:val="22"/>
              </w:rPr>
              <w:t>23K91A0518</w:t>
            </w:r>
          </w:p>
        </w:tc>
      </w:tr>
      <w:tr w:rsidR="002506F4">
        <w:trPr>
          <w:cantSplit/>
          <w:jc w:val="center"/>
        </w:trPr>
        <w:tc>
          <w:tcPr>
            <w:tcW w:w="1008" w:type="dxa"/>
          </w:tcPr>
          <w:p w:rsidR="002506F4" w:rsidRDefault="006C1167">
            <w:pPr>
              <w:spacing w:after="40" w:line="240" w:lineRule="auto"/>
              <w:jc w:val="center"/>
            </w:pPr>
            <w:r>
              <w:rPr>
                <w:rFonts w:cs="Times New Roman"/>
                <w:sz w:val="22"/>
              </w:rPr>
              <w:t>3</w:t>
            </w:r>
          </w:p>
        </w:tc>
        <w:tc>
          <w:tcPr>
            <w:tcW w:w="4896" w:type="dxa"/>
          </w:tcPr>
          <w:p w:rsidR="002506F4" w:rsidRDefault="006C1167">
            <w:pPr>
              <w:spacing w:after="40" w:line="240" w:lineRule="auto"/>
              <w:jc w:val="left"/>
            </w:pPr>
            <w:r>
              <w:rPr>
                <w:rFonts w:cs="Times New Roman"/>
                <w:sz w:val="22"/>
              </w:rPr>
              <w:t>B SANDEEP</w:t>
            </w:r>
          </w:p>
        </w:tc>
        <w:tc>
          <w:tcPr>
            <w:tcW w:w="2592" w:type="dxa"/>
          </w:tcPr>
          <w:p w:rsidR="002506F4" w:rsidRDefault="006C1167">
            <w:pPr>
              <w:spacing w:after="40" w:line="240" w:lineRule="auto"/>
              <w:jc w:val="center"/>
            </w:pPr>
            <w:r>
              <w:rPr>
                <w:rFonts w:cs="Times New Roman"/>
                <w:sz w:val="22"/>
              </w:rPr>
              <w:t>24K915A0503</w:t>
            </w:r>
          </w:p>
        </w:tc>
      </w:tr>
      <w:tr w:rsidR="002506F4">
        <w:trPr>
          <w:cantSplit/>
          <w:jc w:val="center"/>
        </w:trPr>
        <w:tc>
          <w:tcPr>
            <w:tcW w:w="1008" w:type="dxa"/>
          </w:tcPr>
          <w:p w:rsidR="002506F4" w:rsidRDefault="006C1167">
            <w:pPr>
              <w:spacing w:after="40" w:line="240" w:lineRule="auto"/>
              <w:jc w:val="center"/>
            </w:pPr>
            <w:r>
              <w:rPr>
                <w:rFonts w:cs="Times New Roman"/>
                <w:sz w:val="22"/>
              </w:rPr>
              <w:t>4</w:t>
            </w:r>
          </w:p>
        </w:tc>
        <w:tc>
          <w:tcPr>
            <w:tcW w:w="4896" w:type="dxa"/>
          </w:tcPr>
          <w:p w:rsidR="002506F4" w:rsidRDefault="006C1167">
            <w:pPr>
              <w:spacing w:after="40" w:line="240" w:lineRule="auto"/>
              <w:jc w:val="left"/>
            </w:pPr>
            <w:r>
              <w:rPr>
                <w:rFonts w:cs="Times New Roman"/>
                <w:sz w:val="22"/>
              </w:rPr>
              <w:t>DARAGANI VINOD KUMAR</w:t>
            </w:r>
          </w:p>
        </w:tc>
        <w:tc>
          <w:tcPr>
            <w:tcW w:w="2592" w:type="dxa"/>
          </w:tcPr>
          <w:p w:rsidR="002506F4" w:rsidRDefault="006C1167">
            <w:pPr>
              <w:spacing w:after="40" w:line="240" w:lineRule="auto"/>
              <w:jc w:val="center"/>
            </w:pPr>
            <w:r>
              <w:rPr>
                <w:rFonts w:cs="Times New Roman"/>
                <w:sz w:val="22"/>
              </w:rPr>
              <w:t>23K91A0558</w:t>
            </w:r>
          </w:p>
        </w:tc>
      </w:tr>
    </w:tbl>
    <w:p w:rsidR="002506F4" w:rsidRDefault="002506F4">
      <w:pPr>
        <w:spacing w:line="192" w:lineRule="auto"/>
      </w:pPr>
    </w:p>
    <w:p w:rsidR="002506F4" w:rsidRDefault="006C1167">
      <w:pPr>
        <w:spacing w:after="200"/>
        <w:jc w:val="center"/>
      </w:pPr>
      <w:r>
        <w:rPr>
          <w:rFonts w:cs="Times New Roman"/>
          <w:b/>
        </w:rPr>
        <w:t>Project guide:</w:t>
      </w:r>
      <w:r>
        <w:rPr>
          <w:rFonts w:cs="Times New Roman"/>
        </w:rPr>
        <w:t xml:space="preserve"> B. SRIKANTH, Assistant Professor, Department of CSE</w:t>
      </w:r>
    </w:p>
    <w:p w:rsidR="002506F4" w:rsidRDefault="006C1167">
      <w:r>
        <w:rPr>
          <w:rFonts w:cs="Times New Roman"/>
          <w:i/>
          <w:sz w:val="21"/>
        </w:rPr>
        <w:t>Chapter and section numbers quoted in the text (for example Section 6.6 or Chapter 8) refer to the full project report, 17.Final Document. Figures and tables in this document are numbered f</w:t>
      </w:r>
      <w:r>
        <w:rPr>
          <w:rFonts w:cs="Times New Roman"/>
          <w:i/>
          <w:sz w:val="21"/>
        </w:rPr>
        <w:t>rom 1.</w:t>
      </w:r>
    </w:p>
    <w:p w:rsidR="002506F4" w:rsidRDefault="006C1167">
      <w:pPr>
        <w:pStyle w:val="Heading1"/>
      </w:pPr>
      <w:r>
        <w:t>CHAPTER 9: CONCLUSION</w:t>
      </w:r>
    </w:p>
    <w:p w:rsidR="002506F4" w:rsidRDefault="006C1167">
      <w:pPr>
        <w:pStyle w:val="Heading2"/>
      </w:pPr>
      <w:r>
        <w:t>9.1 Summary of the Work</w:t>
      </w:r>
    </w:p>
    <w:p w:rsidR="002506F4" w:rsidRDefault="006C1167">
      <w:r>
        <w:rPr>
          <w:rFonts w:cs="Times New Roman"/>
        </w:rPr>
        <w:t xml:space="preserve">This project set out to move customer-churn work from a table of classifier metrics to a tool a retention team can use. It built a complete pipeline and application: a data loader that profiles and </w:t>
      </w:r>
      <w:r>
        <w:rPr>
          <w:rFonts w:cs="Times New Roman"/>
        </w:rPr>
        <w:t>validates a customer table, a preprocessing pipeline fitted on the training split only, three required and two optional classifiers with class-weight or SMOTE imbalance handling, an evaluation module with five metrics and the usual curves, a risk-banding s</w:t>
      </w:r>
      <w:r>
        <w:rPr>
          <w:rFonts w:cs="Times New Roman"/>
        </w:rPr>
        <w:t xml:space="preserve">cheme with editable thresholds, global and per-customer explanations, a what-if analysis, a transparent rule engine that turns drivers into retention suggestions, batch scoring and a drift check. These are delivered through two interfaces on one core: the </w:t>
      </w:r>
      <w:r>
        <w:rPr>
          <w:rFonts w:cs="Times New Roman"/>
        </w:rPr>
        <w:t>original Streamlit application and the ChurnIQ web interface served by a FastAPI layer.</w:t>
      </w:r>
    </w:p>
    <w:p w:rsidR="002506F4" w:rsidRDefault="006C1167">
      <w:r>
        <w:rPr>
          <w:rFonts w:cs="Times New Roman"/>
        </w:rPr>
        <w:lastRenderedPageBreak/>
        <w:t xml:space="preserve">On the synthetic sample (1,000 customers, 26.4% churn) the best model by F1 is Logistic Regression: accuracy 0.630, precision 0.385, recall 0.660, F1 0.486 and ROC-AUC </w:t>
      </w:r>
      <w:r>
        <w:rPr>
          <w:rFonts w:cs="Times New Roman"/>
        </w:rPr>
        <w:t>0.722 on a 200-row test split. Cross-validation and repeated splits show that Logistic Regression and Random Forest cannot be separated reliably (F1 0.483 ± 0.055 and 0.463 ± 0.051 in 5-fold cross-validation). Ranking customers by predicted risk and contac</w:t>
      </w:r>
      <w:r>
        <w:rPr>
          <w:rFonts w:cs="Times New Roman"/>
        </w:rPr>
        <w:t>ting the top 20% reached 39.6% of the churners, a lift of about 2 over random contact.</w:t>
      </w:r>
    </w:p>
    <w:p w:rsidR="002506F4" w:rsidRDefault="006C1167">
      <w:pPr>
        <w:pStyle w:val="Heading2"/>
      </w:pPr>
      <w:r>
        <w:t>9.2 Objectives Revisited</w:t>
      </w:r>
    </w:p>
    <w:p w:rsidR="002506F4" w:rsidRDefault="006C1167">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Outcome against the six objectives</w:t>
      </w:r>
    </w:p>
    <w:tbl>
      <w:tblPr>
        <w:tblStyle w:val="TableGrid"/>
        <w:tblW w:w="0" w:type="auto"/>
        <w:jc w:val="center"/>
        <w:tblLook w:val="04A0" w:firstRow="1" w:lastRow="0" w:firstColumn="1" w:lastColumn="0" w:noHBand="0" w:noVBand="1"/>
      </w:tblPr>
      <w:tblGrid>
        <w:gridCol w:w="576"/>
        <w:gridCol w:w="2592"/>
        <w:gridCol w:w="1296"/>
        <w:gridCol w:w="4176"/>
      </w:tblGrid>
      <w:tr w:rsidR="002506F4">
        <w:trPr>
          <w:cantSplit/>
          <w:tblHeader/>
          <w:jc w:val="center"/>
        </w:trPr>
        <w:tc>
          <w:tcPr>
            <w:tcW w:w="576" w:type="dxa"/>
            <w:shd w:val="clear" w:color="auto" w:fill="1B2A41"/>
          </w:tcPr>
          <w:p w:rsidR="002506F4" w:rsidRDefault="006C1167">
            <w:pPr>
              <w:spacing w:after="40" w:line="240" w:lineRule="auto"/>
              <w:jc w:val="center"/>
            </w:pPr>
            <w:r>
              <w:rPr>
                <w:rFonts w:cs="Times New Roman"/>
                <w:b/>
                <w:color w:val="FFFFFF"/>
                <w:sz w:val="18"/>
              </w:rPr>
              <w:t>No.</w:t>
            </w:r>
          </w:p>
        </w:tc>
        <w:tc>
          <w:tcPr>
            <w:tcW w:w="2592" w:type="dxa"/>
            <w:shd w:val="clear" w:color="auto" w:fill="1B2A41"/>
          </w:tcPr>
          <w:p w:rsidR="002506F4" w:rsidRDefault="006C1167">
            <w:pPr>
              <w:spacing w:after="40" w:line="240" w:lineRule="auto"/>
              <w:jc w:val="center"/>
            </w:pPr>
            <w:r>
              <w:rPr>
                <w:rFonts w:cs="Times New Roman"/>
                <w:b/>
                <w:color w:val="FFFFFF"/>
                <w:sz w:val="18"/>
              </w:rPr>
              <w:t>Objective</w:t>
            </w:r>
          </w:p>
        </w:tc>
        <w:tc>
          <w:tcPr>
            <w:tcW w:w="1296" w:type="dxa"/>
            <w:shd w:val="clear" w:color="auto" w:fill="1B2A41"/>
          </w:tcPr>
          <w:p w:rsidR="002506F4" w:rsidRDefault="006C1167">
            <w:pPr>
              <w:spacing w:after="40" w:line="240" w:lineRule="auto"/>
              <w:jc w:val="center"/>
            </w:pPr>
            <w:r>
              <w:rPr>
                <w:rFonts w:cs="Times New Roman"/>
                <w:b/>
                <w:color w:val="FFFFFF"/>
                <w:sz w:val="18"/>
              </w:rPr>
              <w:t>Outcome</w:t>
            </w:r>
          </w:p>
        </w:tc>
        <w:tc>
          <w:tcPr>
            <w:tcW w:w="4176" w:type="dxa"/>
            <w:shd w:val="clear" w:color="auto" w:fill="1B2A41"/>
          </w:tcPr>
          <w:p w:rsidR="002506F4" w:rsidRDefault="006C1167">
            <w:pPr>
              <w:spacing w:after="40" w:line="240" w:lineRule="auto"/>
              <w:jc w:val="center"/>
            </w:pPr>
            <w:r>
              <w:rPr>
                <w:rFonts w:cs="Times New Roman"/>
                <w:b/>
                <w:color w:val="FFFFFF"/>
                <w:sz w:val="18"/>
              </w:rPr>
              <w:t>Evidence</w:t>
            </w:r>
          </w:p>
        </w:tc>
      </w:tr>
      <w:tr w:rsidR="002506F4">
        <w:trPr>
          <w:cantSplit/>
          <w:jc w:val="center"/>
        </w:trPr>
        <w:tc>
          <w:tcPr>
            <w:tcW w:w="576" w:type="dxa"/>
          </w:tcPr>
          <w:p w:rsidR="002506F4" w:rsidRDefault="006C1167">
            <w:pPr>
              <w:spacing w:after="40" w:line="240" w:lineRule="auto"/>
              <w:jc w:val="center"/>
            </w:pPr>
            <w:r>
              <w:rPr>
                <w:rFonts w:cs="Times New Roman"/>
                <w:sz w:val="18"/>
              </w:rPr>
              <w:t>1</w:t>
            </w:r>
          </w:p>
        </w:tc>
        <w:tc>
          <w:tcPr>
            <w:tcW w:w="2592" w:type="dxa"/>
          </w:tcPr>
          <w:p w:rsidR="002506F4" w:rsidRDefault="006C1167">
            <w:pPr>
              <w:spacing w:after="40" w:line="240" w:lineRule="auto"/>
              <w:jc w:val="left"/>
            </w:pPr>
            <w:r>
              <w:rPr>
                <w:rFonts w:cs="Times New Roman"/>
                <w:sz w:val="18"/>
              </w:rPr>
              <w:t>Acquire a dataset and explore churn behavi</w:t>
            </w:r>
            <w:r>
              <w:rPr>
                <w:rFonts w:cs="Times New Roman"/>
                <w:sz w:val="18"/>
              </w:rPr>
              <w:t>our</w:t>
            </w:r>
          </w:p>
        </w:tc>
        <w:tc>
          <w:tcPr>
            <w:tcW w:w="1296" w:type="dxa"/>
          </w:tcPr>
          <w:p w:rsidR="002506F4" w:rsidRDefault="006C1167">
            <w:pPr>
              <w:spacing w:after="40" w:line="240" w:lineRule="auto"/>
              <w:jc w:val="center"/>
            </w:pPr>
            <w:r>
              <w:rPr>
                <w:rFonts w:cs="Times New Roman"/>
                <w:sz w:val="18"/>
              </w:rPr>
              <w:t>Met, with a caveat</w:t>
            </w:r>
          </w:p>
        </w:tc>
        <w:tc>
          <w:tcPr>
            <w:tcW w:w="4176" w:type="dxa"/>
          </w:tcPr>
          <w:p w:rsidR="002506F4" w:rsidRDefault="006C1167">
            <w:pPr>
              <w:spacing w:after="40" w:line="240" w:lineRule="auto"/>
              <w:jc w:val="left"/>
            </w:pPr>
            <w:r>
              <w:rPr>
                <w:rFonts w:cs="Times New Roman"/>
                <w:sz w:val="18"/>
              </w:rPr>
              <w:t>A synthetic 1,000-customer data set with the Telco schema is generated (no real operator data); the Explore page and Section 8.2 show churn by contract, tenure, service and payment</w:t>
            </w:r>
          </w:p>
        </w:tc>
      </w:tr>
      <w:tr w:rsidR="002506F4">
        <w:trPr>
          <w:cantSplit/>
          <w:jc w:val="center"/>
        </w:trPr>
        <w:tc>
          <w:tcPr>
            <w:tcW w:w="576" w:type="dxa"/>
          </w:tcPr>
          <w:p w:rsidR="002506F4" w:rsidRDefault="006C1167">
            <w:pPr>
              <w:spacing w:after="40" w:line="240" w:lineRule="auto"/>
              <w:jc w:val="center"/>
            </w:pPr>
            <w:r>
              <w:rPr>
                <w:rFonts w:cs="Times New Roman"/>
                <w:sz w:val="18"/>
              </w:rPr>
              <w:t>2</w:t>
            </w:r>
          </w:p>
        </w:tc>
        <w:tc>
          <w:tcPr>
            <w:tcW w:w="2592" w:type="dxa"/>
          </w:tcPr>
          <w:p w:rsidR="002506F4" w:rsidRDefault="006C1167">
            <w:pPr>
              <w:spacing w:after="40" w:line="240" w:lineRule="auto"/>
              <w:jc w:val="left"/>
            </w:pPr>
            <w:r>
              <w:rPr>
                <w:rFonts w:cs="Times New Roman"/>
                <w:sz w:val="18"/>
              </w:rPr>
              <w:t>Clean, encode and address class imbalance</w:t>
            </w:r>
          </w:p>
        </w:tc>
        <w:tc>
          <w:tcPr>
            <w:tcW w:w="1296" w:type="dxa"/>
          </w:tcPr>
          <w:p w:rsidR="002506F4" w:rsidRDefault="006C1167">
            <w:pPr>
              <w:spacing w:after="40" w:line="240" w:lineRule="auto"/>
              <w:jc w:val="center"/>
            </w:pPr>
            <w:r>
              <w:rPr>
                <w:rFonts w:cs="Times New Roman"/>
                <w:sz w:val="18"/>
              </w:rPr>
              <w:t>Met</w:t>
            </w:r>
          </w:p>
        </w:tc>
        <w:tc>
          <w:tcPr>
            <w:tcW w:w="4176" w:type="dxa"/>
          </w:tcPr>
          <w:p w:rsidR="002506F4" w:rsidRDefault="006C1167">
            <w:pPr>
              <w:spacing w:after="40" w:line="240" w:lineRule="auto"/>
              <w:jc w:val="left"/>
            </w:pPr>
            <w:r>
              <w:rPr>
                <w:rFonts w:cs="Times New Roman"/>
                <w:sz w:val="18"/>
              </w:rPr>
              <w:t>Duplicate removal, imputation, scaling, one-hot encoding; class weights and SMOTE; recall measured with and without handling (0.1887 against 0.6604 for Logistic Regression)</w:t>
            </w:r>
          </w:p>
        </w:tc>
      </w:tr>
      <w:tr w:rsidR="002506F4">
        <w:trPr>
          <w:cantSplit/>
          <w:jc w:val="center"/>
        </w:trPr>
        <w:tc>
          <w:tcPr>
            <w:tcW w:w="576" w:type="dxa"/>
          </w:tcPr>
          <w:p w:rsidR="002506F4" w:rsidRDefault="006C1167">
            <w:pPr>
              <w:spacing w:after="40" w:line="240" w:lineRule="auto"/>
              <w:jc w:val="center"/>
            </w:pPr>
            <w:r>
              <w:rPr>
                <w:rFonts w:cs="Times New Roman"/>
                <w:sz w:val="18"/>
              </w:rPr>
              <w:t>3</w:t>
            </w:r>
          </w:p>
        </w:tc>
        <w:tc>
          <w:tcPr>
            <w:tcW w:w="2592" w:type="dxa"/>
          </w:tcPr>
          <w:p w:rsidR="002506F4" w:rsidRDefault="006C1167">
            <w:pPr>
              <w:spacing w:after="40" w:line="240" w:lineRule="auto"/>
              <w:jc w:val="left"/>
            </w:pPr>
            <w:r>
              <w:rPr>
                <w:rFonts w:cs="Times New Roman"/>
                <w:sz w:val="18"/>
              </w:rPr>
              <w:t>Train and compare Logistic Regression, Decision Tree and Random Forest</w:t>
            </w:r>
          </w:p>
        </w:tc>
        <w:tc>
          <w:tcPr>
            <w:tcW w:w="1296" w:type="dxa"/>
          </w:tcPr>
          <w:p w:rsidR="002506F4" w:rsidRDefault="006C1167">
            <w:pPr>
              <w:spacing w:after="40" w:line="240" w:lineRule="auto"/>
              <w:jc w:val="center"/>
            </w:pPr>
            <w:r>
              <w:rPr>
                <w:rFonts w:cs="Times New Roman"/>
                <w:sz w:val="18"/>
              </w:rPr>
              <w:t>Met</w:t>
            </w:r>
          </w:p>
        </w:tc>
        <w:tc>
          <w:tcPr>
            <w:tcW w:w="4176" w:type="dxa"/>
          </w:tcPr>
          <w:p w:rsidR="002506F4" w:rsidRDefault="006C1167">
            <w:pPr>
              <w:spacing w:after="40" w:line="240" w:lineRule="auto"/>
              <w:jc w:val="left"/>
            </w:pPr>
            <w:r>
              <w:rPr>
                <w:rFonts w:cs="Times New Roman"/>
                <w:sz w:val="18"/>
              </w:rPr>
              <w:t>All t</w:t>
            </w:r>
            <w:r>
              <w:rPr>
                <w:rFonts w:cs="Times New Roman"/>
                <w:sz w:val="18"/>
              </w:rPr>
              <w:t>hree trained and compared (plus Gradient Boosting and Histogram Gradient Boosting); Logistic Regression recommended on F1</w:t>
            </w:r>
          </w:p>
        </w:tc>
      </w:tr>
      <w:tr w:rsidR="002506F4">
        <w:trPr>
          <w:cantSplit/>
          <w:jc w:val="center"/>
        </w:trPr>
        <w:tc>
          <w:tcPr>
            <w:tcW w:w="576" w:type="dxa"/>
          </w:tcPr>
          <w:p w:rsidR="002506F4" w:rsidRDefault="006C1167">
            <w:pPr>
              <w:spacing w:after="40" w:line="240" w:lineRule="auto"/>
              <w:jc w:val="center"/>
            </w:pPr>
            <w:r>
              <w:rPr>
                <w:rFonts w:cs="Times New Roman"/>
                <w:sz w:val="18"/>
              </w:rPr>
              <w:t>4</w:t>
            </w:r>
          </w:p>
        </w:tc>
        <w:tc>
          <w:tcPr>
            <w:tcW w:w="2592" w:type="dxa"/>
          </w:tcPr>
          <w:p w:rsidR="002506F4" w:rsidRDefault="006C1167">
            <w:pPr>
              <w:spacing w:after="40" w:line="240" w:lineRule="auto"/>
              <w:jc w:val="left"/>
            </w:pPr>
            <w:r>
              <w:rPr>
                <w:rFonts w:cs="Times New Roman"/>
                <w:sz w:val="18"/>
              </w:rPr>
              <w:t>Evaluate with accuracy, precision, recall, F1 and ROC-AUC</w:t>
            </w:r>
          </w:p>
        </w:tc>
        <w:tc>
          <w:tcPr>
            <w:tcW w:w="1296" w:type="dxa"/>
          </w:tcPr>
          <w:p w:rsidR="002506F4" w:rsidRDefault="006C1167">
            <w:pPr>
              <w:spacing w:after="40" w:line="240" w:lineRule="auto"/>
              <w:jc w:val="center"/>
            </w:pPr>
            <w:r>
              <w:rPr>
                <w:rFonts w:cs="Times New Roman"/>
                <w:sz w:val="18"/>
              </w:rPr>
              <w:t>Met</w:t>
            </w:r>
          </w:p>
        </w:tc>
        <w:tc>
          <w:tcPr>
            <w:tcW w:w="4176" w:type="dxa"/>
          </w:tcPr>
          <w:p w:rsidR="002506F4" w:rsidRDefault="006C1167">
            <w:pPr>
              <w:spacing w:after="40" w:line="240" w:lineRule="auto"/>
              <w:jc w:val="left"/>
            </w:pPr>
            <w:r>
              <w:rPr>
                <w:rFonts w:cs="Times New Roman"/>
                <w:sz w:val="18"/>
              </w:rPr>
              <w:t>All five metrics, confusion matrices, ROC and precision-recall curves</w:t>
            </w:r>
            <w:r>
              <w:rPr>
                <w:rFonts w:cs="Times New Roman"/>
                <w:sz w:val="18"/>
              </w:rPr>
              <w:t>, plus cross-validation and repeated splits</w:t>
            </w:r>
          </w:p>
        </w:tc>
      </w:tr>
      <w:tr w:rsidR="002506F4">
        <w:trPr>
          <w:cantSplit/>
          <w:jc w:val="center"/>
        </w:trPr>
        <w:tc>
          <w:tcPr>
            <w:tcW w:w="576" w:type="dxa"/>
          </w:tcPr>
          <w:p w:rsidR="002506F4" w:rsidRDefault="006C1167">
            <w:pPr>
              <w:spacing w:after="40" w:line="240" w:lineRule="auto"/>
              <w:jc w:val="center"/>
            </w:pPr>
            <w:r>
              <w:rPr>
                <w:rFonts w:cs="Times New Roman"/>
                <w:sz w:val="18"/>
              </w:rPr>
              <w:t>5</w:t>
            </w:r>
          </w:p>
        </w:tc>
        <w:tc>
          <w:tcPr>
            <w:tcW w:w="2592" w:type="dxa"/>
          </w:tcPr>
          <w:p w:rsidR="002506F4" w:rsidRDefault="006C1167">
            <w:pPr>
              <w:spacing w:after="40" w:line="240" w:lineRule="auto"/>
              <w:jc w:val="left"/>
            </w:pPr>
            <w:r>
              <w:rPr>
                <w:rFonts w:cs="Times New Roman"/>
                <w:sz w:val="18"/>
              </w:rPr>
              <w:t>Identify the features that drive churn</w:t>
            </w:r>
          </w:p>
        </w:tc>
        <w:tc>
          <w:tcPr>
            <w:tcW w:w="1296" w:type="dxa"/>
          </w:tcPr>
          <w:p w:rsidR="002506F4" w:rsidRDefault="006C1167">
            <w:pPr>
              <w:spacing w:after="40" w:line="240" w:lineRule="auto"/>
              <w:jc w:val="center"/>
            </w:pPr>
            <w:r>
              <w:rPr>
                <w:rFonts w:cs="Times New Roman"/>
                <w:sz w:val="18"/>
              </w:rPr>
              <w:t>Met</w:t>
            </w:r>
          </w:p>
        </w:tc>
        <w:tc>
          <w:tcPr>
            <w:tcW w:w="4176" w:type="dxa"/>
          </w:tcPr>
          <w:p w:rsidR="002506F4" w:rsidRDefault="006C1167">
            <w:pPr>
              <w:spacing w:after="40" w:line="240" w:lineRule="auto"/>
              <w:jc w:val="left"/>
            </w:pPr>
            <w:r>
              <w:rPr>
                <w:rFonts w:cs="Times New Roman"/>
                <w:sz w:val="18"/>
              </w:rPr>
              <w:t>Coefficients and permutation importance: contract type, monthly charges, tenure and payment method lead. SHAP not exercised</w:t>
            </w:r>
          </w:p>
        </w:tc>
      </w:tr>
      <w:tr w:rsidR="002506F4">
        <w:trPr>
          <w:cantSplit/>
          <w:jc w:val="center"/>
        </w:trPr>
        <w:tc>
          <w:tcPr>
            <w:tcW w:w="576" w:type="dxa"/>
          </w:tcPr>
          <w:p w:rsidR="002506F4" w:rsidRDefault="006C1167">
            <w:pPr>
              <w:spacing w:after="40" w:line="240" w:lineRule="auto"/>
              <w:jc w:val="center"/>
            </w:pPr>
            <w:r>
              <w:rPr>
                <w:rFonts w:cs="Times New Roman"/>
                <w:sz w:val="18"/>
              </w:rPr>
              <w:t>6</w:t>
            </w:r>
          </w:p>
        </w:tc>
        <w:tc>
          <w:tcPr>
            <w:tcW w:w="2592" w:type="dxa"/>
          </w:tcPr>
          <w:p w:rsidR="002506F4" w:rsidRDefault="006C1167">
            <w:pPr>
              <w:spacing w:after="40" w:line="240" w:lineRule="auto"/>
              <w:jc w:val="left"/>
            </w:pPr>
            <w:r>
              <w:rPr>
                <w:rFonts w:cs="Times New Roman"/>
                <w:sz w:val="18"/>
              </w:rPr>
              <w:t xml:space="preserve">Present at-risk customers and drivers </w:t>
            </w:r>
            <w:r>
              <w:rPr>
                <w:rFonts w:cs="Times New Roman"/>
                <w:sz w:val="18"/>
              </w:rPr>
              <w:t>through a dashboard</w:t>
            </w:r>
          </w:p>
        </w:tc>
        <w:tc>
          <w:tcPr>
            <w:tcW w:w="1296" w:type="dxa"/>
          </w:tcPr>
          <w:p w:rsidR="002506F4" w:rsidRDefault="006C1167">
            <w:pPr>
              <w:spacing w:after="40" w:line="240" w:lineRule="auto"/>
              <w:jc w:val="center"/>
            </w:pPr>
            <w:r>
              <w:rPr>
                <w:rFonts w:cs="Times New Roman"/>
                <w:sz w:val="18"/>
              </w:rPr>
              <w:t>Met</w:t>
            </w:r>
          </w:p>
        </w:tc>
        <w:tc>
          <w:tcPr>
            <w:tcW w:w="4176" w:type="dxa"/>
          </w:tcPr>
          <w:p w:rsidR="002506F4" w:rsidRDefault="006C1167">
            <w:pPr>
              <w:spacing w:after="40" w:line="240" w:lineRule="auto"/>
              <w:jc w:val="left"/>
            </w:pPr>
            <w:r>
              <w:rPr>
                <w:rFonts w:cs="Times New Roman"/>
                <w:sz w:val="18"/>
              </w:rPr>
              <w:t>Dashboard, risk bands, Customer 360, what-if, retention actions, batch scoring and monitoring pages</w:t>
            </w:r>
          </w:p>
        </w:tc>
      </w:tr>
    </w:tbl>
    <w:p w:rsidR="002506F4" w:rsidRDefault="002506F4">
      <w:pPr>
        <w:spacing w:line="192" w:lineRule="auto"/>
      </w:pPr>
    </w:p>
    <w:p w:rsidR="002506F4" w:rsidRDefault="006C1167">
      <w:pPr>
        <w:pStyle w:val="Heading2"/>
      </w:pPr>
      <w:r>
        <w:t>9.3 Limitations</w:t>
      </w:r>
    </w:p>
    <w:p w:rsidR="002506F4" w:rsidRDefault="006C1167">
      <w:r>
        <w:rPr>
          <w:rFonts w:cs="Times New Roman"/>
        </w:rPr>
        <w:t>The conclusions are limited in the following ways, which are discussed in full in the Scope and Limitations docume</w:t>
      </w:r>
      <w:r>
        <w:rPr>
          <w:rFonts w:cs="Times New Roman"/>
        </w:rPr>
        <w:t>nt:</w:t>
      </w:r>
    </w:p>
    <w:p w:rsidR="002506F4" w:rsidRDefault="006C1167">
      <w:pPr>
        <w:spacing w:after="60"/>
        <w:ind w:left="720" w:hanging="360"/>
      </w:pPr>
      <w:r>
        <w:rPr>
          <w:rFonts w:cs="Times New Roman"/>
        </w:rPr>
        <w:t>•  The data are synthetic. The metrics describe the pipeline on generated data and say nothing about accuracy on a real operator's customers.</w:t>
      </w:r>
    </w:p>
    <w:p w:rsidR="002506F4" w:rsidRDefault="006C1167">
      <w:pPr>
        <w:spacing w:after="60"/>
        <w:ind w:left="720" w:hanging="360"/>
      </w:pPr>
      <w:r>
        <w:rPr>
          <w:rFonts w:cs="Times New Roman"/>
        </w:rPr>
        <w:t>•  The test split has 200 rows and 53 churners. Cross-validation and repeated splits show spreads of 0.03 to 0</w:t>
      </w:r>
      <w:r>
        <w:rPr>
          <w:rFonts w:cs="Times New Roman"/>
        </w:rPr>
        <w:t>.10 on several metrics, and a Random Forest result changes with the scikit-learn version.</w:t>
      </w:r>
    </w:p>
    <w:p w:rsidR="002506F4" w:rsidRDefault="006C1167">
      <w:pPr>
        <w:spacing w:after="60"/>
        <w:ind w:left="720" w:hanging="360"/>
      </w:pPr>
      <w:r>
        <w:rPr>
          <w:rFonts w:cs="Times New Roman"/>
        </w:rPr>
        <w:t>•  The ranking ability is moderate (ROC-AUC about 0.72, F1 about 0.46-0.51) and the probabilities are not calibrated (Brier score 0.213 against 0.195 for a constant p</w:t>
      </w:r>
      <w:r>
        <w:rPr>
          <w:rFonts w:cs="Times New Roman"/>
        </w:rPr>
        <w:t>redictor).</w:t>
      </w:r>
    </w:p>
    <w:p w:rsidR="002506F4" w:rsidRDefault="006C1167">
      <w:pPr>
        <w:spacing w:after="60"/>
        <w:ind w:left="720" w:hanging="360"/>
      </w:pPr>
      <w:r>
        <w:rPr>
          <w:rFonts w:cs="Times New Roman"/>
        </w:rPr>
        <w:lastRenderedPageBreak/>
        <w:t>•  SHAP was not installed, so no SHAP result is reported; the explanations are coefficient-times-value and permutation importance.</w:t>
      </w:r>
    </w:p>
    <w:p w:rsidR="002506F4" w:rsidRDefault="006C1167">
      <w:pPr>
        <w:spacing w:after="60"/>
        <w:ind w:left="720" w:hanging="360"/>
      </w:pPr>
      <w:r>
        <w:rPr>
          <w:rFonts w:cs="Times New Roman"/>
        </w:rPr>
        <w:t>•  The retention rules are heuristics written by the team. Their effect on real churn was not measured.</w:t>
      </w:r>
    </w:p>
    <w:p w:rsidR="002506F4" w:rsidRDefault="006C1167">
      <w:pPr>
        <w:spacing w:after="60"/>
        <w:ind w:left="720" w:hanging="360"/>
      </w:pPr>
      <w:r>
        <w:rPr>
          <w:rFonts w:cs="Times New Roman"/>
        </w:rPr>
        <w:t xml:space="preserve">•  There </w:t>
      </w:r>
      <w:r>
        <w:rPr>
          <w:rFonts w:cs="Times New Roman"/>
        </w:rPr>
        <w:t>is no database, no multi-user support and no real authentication; the login is a demonstration.</w:t>
      </w:r>
    </w:p>
    <w:p w:rsidR="002506F4" w:rsidRDefault="006C1167">
      <w:pPr>
        <w:spacing w:after="60"/>
        <w:ind w:left="720" w:hanging="360"/>
      </w:pPr>
      <w:r>
        <w:rPr>
          <w:rFonts w:cs="Times New Roman"/>
        </w:rPr>
        <w:t>•  No user-acceptance study, load test or non-Chrome browser test was carried out.</w:t>
      </w:r>
    </w:p>
    <w:p w:rsidR="002506F4" w:rsidRDefault="006C1167">
      <w:pPr>
        <w:pStyle w:val="Heading2"/>
      </w:pPr>
      <w:r>
        <w:t>9.4 Concluding Remarks</w:t>
      </w:r>
    </w:p>
    <w:p w:rsidR="002506F4" w:rsidRDefault="006C1167">
      <w:r>
        <w:rPr>
          <w:rFonts w:cs="Times New Roman"/>
        </w:rPr>
        <w:t xml:space="preserve">The project shows that an end-to-end churn workflow </w:t>
      </w:r>
      <w:r>
        <w:rPr>
          <w:rFonts w:cs="Times New Roman"/>
        </w:rPr>
        <w:t>can be built from open-source parts, run on a desktop in seconds, and made inspectable at every step: the data are profiled, the model is chosen on a metric that is not fooled by imbalance, each score carries its drivers, and each suggestion carries its ru</w:t>
      </w:r>
      <w:r>
        <w:rPr>
          <w:rFonts w:cs="Times New Roman"/>
        </w:rPr>
        <w:t>le. It follows the motivation of the base paper [1], that churn predictions are most useful when they can be explained, and supplies the application layer the paper leaves open. Its numerical results are a demonstration on synthetic data; the next step, de</w:t>
      </w:r>
      <w:r>
        <w:rPr>
          <w:rFonts w:cs="Times New Roman"/>
        </w:rPr>
        <w:t>scribed in Chapter 10, is to repeat the evaluation on real customer records before any retention decision depends on it.</w:t>
      </w:r>
    </w:p>
    <w:p w:rsidR="002506F4" w:rsidRDefault="006C1167">
      <w:r>
        <w:rPr>
          <w:rFonts w:cs="Times New Roman"/>
        </w:rPr>
        <w:t xml:space="preserve">The two figures below summarise the evidence behind the conclusion: the five models side by side, and how many churners a team reaches </w:t>
      </w:r>
      <w:r>
        <w:rPr>
          <w:rFonts w:cs="Times New Roman"/>
        </w:rPr>
        <w:t>by contacting customers in order of predicted risk.</w:t>
      </w:r>
    </w:p>
    <w:p w:rsidR="002506F4" w:rsidRDefault="006C1167">
      <w:pPr>
        <w:keepNext/>
        <w:spacing w:after="80" w:line="240" w:lineRule="auto"/>
        <w:jc w:val="center"/>
      </w:pPr>
      <w:r>
        <w:rPr>
          <w:noProof/>
        </w:rPr>
        <w:drawing>
          <wp:inline distT="0" distB="0" distL="0" distR="0">
            <wp:extent cx="5394960" cy="25463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8"/>
                    <a:stretch>
                      <a:fillRect/>
                    </a:stretch>
                  </pic:blipFill>
                  <pic:spPr>
                    <a:xfrm>
                      <a:off x="0" y="0"/>
                      <a:ext cx="5394960" cy="2546354"/>
                    </a:xfrm>
                    <a:prstGeom prst="rect">
                      <a:avLst/>
                    </a:prstGeom>
                  </pic:spPr>
                </pic:pic>
              </a:graphicData>
            </a:graphic>
          </wp:inline>
        </w:drawing>
      </w:r>
    </w:p>
    <w:p w:rsidR="002506F4" w:rsidRDefault="006C116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Test-split metrics of the five models (class weights, seed 42)</w:t>
      </w:r>
    </w:p>
    <w:p w:rsidR="002506F4" w:rsidRDefault="006C1167">
      <w:pPr>
        <w:keepNext/>
        <w:spacing w:after="80" w:line="240" w:lineRule="auto"/>
        <w:jc w:val="center"/>
      </w:pPr>
      <w:r>
        <w:rPr>
          <w:noProof/>
        </w:rPr>
        <w:lastRenderedPageBreak/>
        <w:drawing>
          <wp:inline distT="0" distB="0" distL="0" distR="0">
            <wp:extent cx="3840480" cy="2637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ing_lift.png"/>
                    <pic:cNvPicPr/>
                  </pic:nvPicPr>
                  <pic:blipFill>
                    <a:blip r:embed="rId9"/>
                    <a:stretch>
                      <a:fillRect/>
                    </a:stretch>
                  </pic:blipFill>
                  <pic:spPr>
                    <a:xfrm>
                      <a:off x="0" y="0"/>
                      <a:ext cx="3840480" cy="2637499"/>
                    </a:xfrm>
                    <a:prstGeom prst="rect">
                      <a:avLst/>
                    </a:prstGeom>
                  </pic:spPr>
                </pic:pic>
              </a:graphicData>
            </a:graphic>
          </wp:inline>
        </w:drawing>
      </w:r>
    </w:p>
    <w:p w:rsidR="002506F4" w:rsidRDefault="006C1167">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Churners captured when contacting the highest-scored customers firs</w:t>
      </w:r>
      <w:r>
        <w:rPr>
          <w:rFonts w:cs="Times New Roman"/>
        </w:rPr>
        <w:t>t (test split)</w:t>
      </w:r>
    </w:p>
    <w:p w:rsidR="002506F4" w:rsidRDefault="006C1167">
      <w:r>
        <w:br w:type="page"/>
      </w:r>
    </w:p>
    <w:p w:rsidR="002506F4" w:rsidRDefault="006C1167">
      <w:pPr>
        <w:pStyle w:val="Heading1"/>
      </w:pPr>
      <w:r>
        <w:lastRenderedPageBreak/>
        <w:t>CHAPTER 10: FUTURE SCOPE</w:t>
      </w:r>
    </w:p>
    <w:p w:rsidR="002506F4" w:rsidRDefault="006C1167">
      <w:r>
        <w:rPr>
          <w:rFonts w:cs="Times New Roman"/>
        </w:rPr>
        <w:t>The work leaves several directions open. They are ordered by how much they would change the value of the system.</w:t>
      </w:r>
    </w:p>
    <w:p w:rsidR="002506F4" w:rsidRDefault="006C1167">
      <w:pPr>
        <w:spacing w:after="60"/>
        <w:ind w:left="720" w:hanging="432"/>
      </w:pPr>
      <w:r>
        <w:rPr>
          <w:rFonts w:cs="Times New Roman"/>
        </w:rPr>
        <w:t xml:space="preserve">1.  </w:t>
      </w:r>
      <w:r>
        <w:rPr>
          <w:rFonts w:cs="Times New Roman"/>
          <w:b/>
        </w:rPr>
        <w:t>Validate on real data.</w:t>
      </w:r>
      <w:r>
        <w:rPr>
          <w:rFonts w:cs="Times New Roman"/>
        </w:rPr>
        <w:t xml:space="preserve"> Repeat the experiments on real operator data or at least on the real publi</w:t>
      </w:r>
      <w:r>
        <w:rPr>
          <w:rFonts w:cs="Times New Roman"/>
        </w:rPr>
        <w:t>c Telco file (7,043 rows), which the loader already supports after the pandas-3 fix. This would give metrics that can be compared with the base paper under a stated protocol, a much larger test set, and an honest answer to whether the synthetic-data conclu</w:t>
      </w:r>
      <w:r>
        <w:rPr>
          <w:rFonts w:cs="Times New Roman"/>
        </w:rPr>
        <w:t>sions hold.</w:t>
      </w:r>
    </w:p>
    <w:p w:rsidR="002506F4" w:rsidRDefault="006C1167">
      <w:pPr>
        <w:spacing w:after="60"/>
        <w:ind w:left="720" w:hanging="432"/>
      </w:pPr>
      <w:r>
        <w:rPr>
          <w:rFonts w:cs="Times New Roman"/>
        </w:rPr>
        <w:t xml:space="preserve">2.  </w:t>
      </w:r>
      <w:r>
        <w:rPr>
          <w:rFonts w:cs="Times New Roman"/>
          <w:b/>
        </w:rPr>
        <w:t>Calibrate the probabilities.</w:t>
      </w:r>
      <w:r>
        <w:rPr>
          <w:rFonts w:cs="Times New Roman"/>
        </w:rPr>
        <w:t xml:space="preserve"> Apply Platt scaling or isotonic regression on a validation split so that a score of 60 can be read as a chance of about 60%, and report reliability curves and the Brier score as part of the Evaluation page.</w:t>
      </w:r>
    </w:p>
    <w:p w:rsidR="002506F4" w:rsidRDefault="006C1167">
      <w:pPr>
        <w:spacing w:after="60"/>
        <w:ind w:left="720" w:hanging="432"/>
      </w:pPr>
      <w:r>
        <w:rPr>
          <w:rFonts w:cs="Times New Roman"/>
        </w:rPr>
        <w:t xml:space="preserve">3.  </w:t>
      </w:r>
      <w:r>
        <w:rPr>
          <w:rFonts w:cs="Times New Roman"/>
          <w:b/>
        </w:rPr>
        <w:t>Add SHAP and the base paper's explainers.</w:t>
      </w:r>
      <w:r>
        <w:rPr>
          <w:rFonts w:cs="Times New Roman"/>
        </w:rPr>
        <w:t xml:space="preserve"> Install and test the SHAP code path that already exists, compare it with the permutation and coefficient explanations, and implement LIME and a unified perturbation explainer in the manner of the base paper to comp</w:t>
      </w:r>
      <w:r>
        <w:rPr>
          <w:rFonts w:cs="Times New Roman"/>
        </w:rPr>
        <w:t>are fidelity, consistency and runtime on the same models.</w:t>
      </w:r>
    </w:p>
    <w:p w:rsidR="002506F4" w:rsidRDefault="006C1167">
      <w:pPr>
        <w:spacing w:after="60"/>
        <w:ind w:left="720" w:hanging="432"/>
      </w:pPr>
      <w:r>
        <w:rPr>
          <w:rFonts w:cs="Times New Roman"/>
        </w:rPr>
        <w:t xml:space="preserve">4.  </w:t>
      </w:r>
      <w:r>
        <w:rPr>
          <w:rFonts w:cs="Times New Roman"/>
          <w:b/>
        </w:rPr>
        <w:t>Stronger models and tuning.</w:t>
      </w:r>
      <w:r>
        <w:rPr>
          <w:rFonts w:cs="Times New Roman"/>
        </w:rPr>
        <w:t xml:space="preserve"> Add XGBoost, LightGBM and CatBoost, tune hyper-parameters by cross-validation, and keep Logistic Regression as the interpretable baseline. Evaluate on cross-validatio</w:t>
      </w:r>
      <w:r>
        <w:rPr>
          <w:rFonts w:cs="Times New Roman"/>
        </w:rPr>
        <w:t>n first, given the noise of a single split.</w:t>
      </w:r>
    </w:p>
    <w:p w:rsidR="002506F4" w:rsidRDefault="006C1167">
      <w:pPr>
        <w:spacing w:after="60"/>
        <w:ind w:left="720" w:hanging="432"/>
      </w:pPr>
      <w:r>
        <w:rPr>
          <w:rFonts w:cs="Times New Roman"/>
        </w:rPr>
        <w:t xml:space="preserve">5.  </w:t>
      </w:r>
      <w:r>
        <w:rPr>
          <w:rFonts w:cs="Times New Roman"/>
          <w:b/>
        </w:rPr>
        <w:t>Cost-sensitive decisions.</w:t>
      </w:r>
      <w:r>
        <w:rPr>
          <w:rFonts w:cs="Times New Roman"/>
        </w:rPr>
        <w:t xml:space="preserve"> Let the analyst enter the cost of an offer and the value of a retained customer, choose the decision threshold that maximises expected profit, and show the expected return of contact</w:t>
      </w:r>
      <w:r>
        <w:rPr>
          <w:rFonts w:cs="Times New Roman"/>
        </w:rPr>
        <w:t>ing the top k%.</w:t>
      </w:r>
    </w:p>
    <w:p w:rsidR="002506F4" w:rsidRDefault="006C1167">
      <w:pPr>
        <w:spacing w:after="60"/>
        <w:ind w:left="720" w:hanging="432"/>
      </w:pPr>
      <w:r>
        <w:rPr>
          <w:rFonts w:cs="Times New Roman"/>
        </w:rPr>
        <w:t xml:space="preserve">6.  </w:t>
      </w:r>
      <w:r>
        <w:rPr>
          <w:rFonts w:cs="Times New Roman"/>
          <w:b/>
        </w:rPr>
        <w:t>Measure the retention rules.</w:t>
      </w:r>
      <w:r>
        <w:rPr>
          <w:rFonts w:cs="Times New Roman"/>
        </w:rPr>
        <w:t xml:space="preserve"> Run a controlled campaign (offer against no offer) on a sample of high-risk customers to estimate uplift, and refine or retire the rules according to measured effect.</w:t>
      </w:r>
    </w:p>
    <w:p w:rsidR="002506F4" w:rsidRDefault="006C1167">
      <w:pPr>
        <w:spacing w:after="60"/>
        <w:ind w:left="720" w:hanging="432"/>
      </w:pPr>
      <w:r>
        <w:rPr>
          <w:rFonts w:cs="Times New Roman"/>
        </w:rPr>
        <w:t xml:space="preserve">7.  </w:t>
      </w:r>
      <w:r>
        <w:rPr>
          <w:rFonts w:cs="Times New Roman"/>
          <w:b/>
        </w:rPr>
        <w:t>Time and behaviour.</w:t>
      </w:r>
      <w:r>
        <w:rPr>
          <w:rFonts w:cs="Times New Roman"/>
        </w:rPr>
        <w:t xml:space="preserve"> Use usage, compl</w:t>
      </w:r>
      <w:r>
        <w:rPr>
          <w:rFonts w:cs="Times New Roman"/>
        </w:rPr>
        <w:t>aint and billing histories over time (survival analysis or sequence features) so that churn can be predicted months ahead and not only from a snapshot.</w:t>
      </w:r>
    </w:p>
    <w:p w:rsidR="002506F4" w:rsidRDefault="006C1167">
      <w:pPr>
        <w:spacing w:after="60"/>
        <w:ind w:left="720" w:hanging="432"/>
      </w:pPr>
      <w:r>
        <w:rPr>
          <w:rFonts w:cs="Times New Roman"/>
        </w:rPr>
        <w:t xml:space="preserve">8.  </w:t>
      </w:r>
      <w:r>
        <w:rPr>
          <w:rFonts w:cs="Times New Roman"/>
          <w:b/>
        </w:rPr>
        <w:t>Production foundations.</w:t>
      </w:r>
      <w:r>
        <w:rPr>
          <w:rFonts w:cs="Times New Roman"/>
        </w:rPr>
        <w:t xml:space="preserve"> Replace the in-memory state by a database, add real accounts with roles and </w:t>
      </w:r>
      <w:r>
        <w:rPr>
          <w:rFonts w:cs="Times New Roman"/>
        </w:rPr>
        <w:t>an audit log, store models with versions, and add scheduled batch scoring and statistical drift tests (population stability index, Kolmogorov-Smirnov).</w:t>
      </w:r>
    </w:p>
    <w:p w:rsidR="002506F4" w:rsidRDefault="006C1167">
      <w:pPr>
        <w:spacing w:after="60"/>
        <w:ind w:left="720" w:hanging="432"/>
      </w:pPr>
      <w:r>
        <w:rPr>
          <w:rFonts w:cs="Times New Roman"/>
        </w:rPr>
        <w:lastRenderedPageBreak/>
        <w:t xml:space="preserve">9.  </w:t>
      </w:r>
      <w:r>
        <w:rPr>
          <w:rFonts w:cs="Times New Roman"/>
          <w:b/>
        </w:rPr>
        <w:t>Integration.</w:t>
      </w:r>
      <w:r>
        <w:rPr>
          <w:rFonts w:cs="Times New Roman"/>
        </w:rPr>
        <w:t xml:space="preserve"> Expose scores to a CRM through the API, and containerise the services for deployment.</w:t>
      </w:r>
    </w:p>
    <w:p w:rsidR="002506F4" w:rsidRDefault="006C1167">
      <w:r>
        <w:rPr>
          <w:rFonts w:cs="Times New Roman"/>
        </w:rPr>
        <w:t>T</w:t>
      </w:r>
      <w:r>
        <w:rPr>
          <w:rFonts w:cs="Times New Roman"/>
        </w:rPr>
        <w:t>he first three are the most important: they address the main weakness of this report (synthetic data), the main weakness of the scores (calibration) and the main gap against the base paper (explanation methods).</w:t>
      </w:r>
    </w:p>
    <w:p w:rsidR="002506F4" w:rsidRDefault="006C1167">
      <w:r>
        <w:br w:type="page"/>
      </w:r>
    </w:p>
    <w:p w:rsidR="002506F4" w:rsidRDefault="006C1167">
      <w:pPr>
        <w:pStyle w:val="Heading1"/>
      </w:pPr>
      <w:r>
        <w:lastRenderedPageBreak/>
        <w:t>REFERENCES</w:t>
      </w:r>
    </w:p>
    <w:p w:rsidR="002506F4" w:rsidRDefault="006C1167">
      <w:pPr>
        <w:spacing w:after="100" w:line="276" w:lineRule="auto"/>
        <w:ind w:left="648" w:hanging="648"/>
      </w:pPr>
      <w:r>
        <w:rPr>
          <w:rFonts w:cs="Times New Roman"/>
          <w:sz w:val="20"/>
        </w:rPr>
        <w:t>[1]  S.-V. Oprea and A. Bara, "</w:t>
      </w:r>
      <w:r>
        <w:rPr>
          <w:rFonts w:cs="Times New Roman"/>
          <w:sz w:val="20"/>
        </w:rPr>
        <w:t>Explaining customer churn through unified perturbation-based XAI soft computing," IEEE Access, vol. 14, pp. 24460-24478, 2026, doi: 10.1109/ACCESS.2026.3663648.</w:t>
      </w:r>
    </w:p>
    <w:p w:rsidR="002506F4" w:rsidRDefault="006C1167">
      <w:pPr>
        <w:spacing w:after="100" w:line="276" w:lineRule="auto"/>
        <w:ind w:left="648" w:hanging="648"/>
      </w:pPr>
      <w:r>
        <w:rPr>
          <w:rFonts w:cs="Times New Roman"/>
          <w:sz w:val="20"/>
        </w:rPr>
        <w:t xml:space="preserve">[2]  A. Sikri, R. Jameel, S. M. Idrees and H. Kaur, "Enhancing customer retention in telecom </w:t>
      </w:r>
      <w:r>
        <w:rPr>
          <w:rFonts w:cs="Times New Roman"/>
          <w:sz w:val="20"/>
        </w:rPr>
        <w:t>industry with machine learning driven churn prediction," Sci. Rep., vol. 14, no. 1, 2024, doi: 10.1038/s41598-024-63750-0.</w:t>
      </w:r>
    </w:p>
    <w:p w:rsidR="002506F4" w:rsidRDefault="006C1167">
      <w:pPr>
        <w:spacing w:after="100" w:line="276" w:lineRule="auto"/>
        <w:ind w:left="648" w:hanging="648"/>
      </w:pPr>
      <w:r>
        <w:rPr>
          <w:rFonts w:cs="Times New Roman"/>
          <w:sz w:val="20"/>
        </w:rPr>
        <w:t xml:space="preserve">[3]  A. El Attar and M. El-Hajj, "Explainable AI-driven customer churn prediction: a multi-model ensemble approach with SHAP-based </w:t>
      </w:r>
      <w:r>
        <w:rPr>
          <w:rFonts w:cs="Times New Roman"/>
          <w:sz w:val="20"/>
        </w:rPr>
        <w:t>feature analysis," Front. Artif. Intell., vol. 9, Feb. 2026, doi: 10.3389/frai.2026.1748799.</w:t>
      </w:r>
    </w:p>
    <w:p w:rsidR="002506F4" w:rsidRDefault="006C1167">
      <w:pPr>
        <w:spacing w:after="100" w:line="276" w:lineRule="auto"/>
        <w:ind w:left="648" w:hanging="648"/>
      </w:pPr>
      <w:r>
        <w:rPr>
          <w:rFonts w:cs="Times New Roman"/>
          <w:sz w:val="20"/>
        </w:rPr>
        <w:t>[4]  H. A. Rasool, K. K. Aljawaheri and A. A. M. Karram, "Explainable customer churn prediction in telecom using ensemble learning and SHAP analysis," Math. Model.</w:t>
      </w:r>
      <w:r>
        <w:rPr>
          <w:rFonts w:cs="Times New Roman"/>
          <w:sz w:val="20"/>
        </w:rPr>
        <w:t xml:space="preserve"> Eng. Probl., pp. 4373-4386, Dec. 2025, doi: 10.18280/mmep.121226.</w:t>
      </w:r>
    </w:p>
    <w:p w:rsidR="002506F4" w:rsidRDefault="006C1167">
      <w:pPr>
        <w:spacing w:after="100" w:line="276" w:lineRule="auto"/>
        <w:ind w:left="648" w:hanging="648"/>
      </w:pPr>
      <w:r>
        <w:rPr>
          <w:rFonts w:cs="Times New Roman"/>
          <w:sz w:val="20"/>
        </w:rPr>
        <w:t>[5]  A. K. Ahmad, A. Jafar and K. Aljoumaa, "Customer churn prediction in telecom using machine learning in big data platform," J. Big Data, vol. 6, no. 1, Mar. 2019, doi: 10.1186/s40537-01</w:t>
      </w:r>
      <w:r>
        <w:rPr>
          <w:rFonts w:cs="Times New Roman"/>
          <w:sz w:val="20"/>
        </w:rPr>
        <w:t>9-0191-6.</w:t>
      </w:r>
    </w:p>
    <w:p w:rsidR="002506F4" w:rsidRDefault="006C1167">
      <w:pPr>
        <w:spacing w:after="100" w:line="276" w:lineRule="auto"/>
        <w:ind w:left="648" w:hanging="648"/>
      </w:pPr>
      <w:r>
        <w:rPr>
          <w:rFonts w:cs="Times New Roman"/>
          <w:sz w:val="20"/>
        </w:rPr>
        <w:t>[6]  T. Vafeiadis, K. I. Diamantaras, G. Sarigiannidis and K. Ch. Chatzisavvas, "A comparison of machine learning techniques for customer churn prediction," Simul. Model. Pract. Theory, vol. 55, 2015.</w:t>
      </w:r>
    </w:p>
    <w:p w:rsidR="002506F4" w:rsidRDefault="006C1167">
      <w:pPr>
        <w:spacing w:after="100" w:line="276" w:lineRule="auto"/>
        <w:ind w:left="648" w:hanging="648"/>
      </w:pPr>
      <w:r>
        <w:rPr>
          <w:rFonts w:cs="Times New Roman"/>
          <w:sz w:val="20"/>
        </w:rPr>
        <w:t>[7]  S. M. Lundberg and S.-I. Lee, "A unified</w:t>
      </w:r>
      <w:r>
        <w:rPr>
          <w:rFonts w:cs="Times New Roman"/>
          <w:sz w:val="20"/>
        </w:rPr>
        <w:t xml:space="preserve"> approach to interpreting model predictions," in Proc. Adv. Neural Inf. Process. Syst. (NeurIPS), vol. 30, 2017.</w:t>
      </w:r>
    </w:p>
    <w:p w:rsidR="002506F4" w:rsidRDefault="006C1167">
      <w:pPr>
        <w:spacing w:after="100" w:line="276" w:lineRule="auto"/>
        <w:ind w:left="648" w:hanging="648"/>
      </w:pPr>
      <w:r>
        <w:rPr>
          <w:rFonts w:cs="Times New Roman"/>
          <w:sz w:val="20"/>
        </w:rPr>
        <w:t>[8]  M. T. Ribeiro, S. Singh and C. Guestrin, "'Why should I trust you?': Explaining the predictions of any classifier," in Proc. 22nd ACM SIGK</w:t>
      </w:r>
      <w:r>
        <w:rPr>
          <w:rFonts w:cs="Times New Roman"/>
          <w:sz w:val="20"/>
        </w:rPr>
        <w:t>DD Int. Conf. Knowl. Discovery Data Mining, 2016, pp. 1135-1144, doi: 10.1145/2939672.2939778.</w:t>
      </w:r>
    </w:p>
    <w:p w:rsidR="002506F4" w:rsidRDefault="006C1167">
      <w:pPr>
        <w:spacing w:after="100" w:line="276" w:lineRule="auto"/>
        <w:ind w:left="648" w:hanging="648"/>
      </w:pPr>
      <w:r>
        <w:rPr>
          <w:rFonts w:cs="Times New Roman"/>
          <w:sz w:val="20"/>
        </w:rPr>
        <w:t>[9]  D. Slack, S. Hilgard, E. Jia, S. Singh and H. Lakkaraju, "Fooling LIME and SHAP: Adversarial attacks on post hoc explanation methods," in Proc. AAAI/ACM Con</w:t>
      </w:r>
      <w:r>
        <w:rPr>
          <w:rFonts w:cs="Times New Roman"/>
          <w:sz w:val="20"/>
        </w:rPr>
        <w:t>f. AI, Ethics, Soc., 2020, doi: 10.1145/3375627.3375830.</w:t>
      </w:r>
    </w:p>
    <w:p w:rsidR="002506F4" w:rsidRDefault="006C1167">
      <w:pPr>
        <w:spacing w:after="100" w:line="276" w:lineRule="auto"/>
        <w:ind w:left="648" w:hanging="648"/>
      </w:pPr>
      <w:r>
        <w:rPr>
          <w:rFonts w:cs="Times New Roman"/>
          <w:sz w:val="20"/>
        </w:rPr>
        <w:t>[10]  S. M. Lundberg et al., "From local explanations to global understanding with explainable AI for trees," Nature Mach. Intell., vol. 2, no. 1, pp. 56-67, Jan. 2020, doi: 10.1038/s42256-019-0138-9</w:t>
      </w:r>
      <w:r>
        <w:rPr>
          <w:rFonts w:cs="Times New Roman"/>
          <w:sz w:val="20"/>
        </w:rPr>
        <w:t>.</w:t>
      </w:r>
    </w:p>
    <w:p w:rsidR="002506F4" w:rsidRDefault="006C1167">
      <w:pPr>
        <w:spacing w:after="100" w:line="276" w:lineRule="auto"/>
        <w:ind w:left="648" w:hanging="648"/>
      </w:pPr>
      <w:r>
        <w:rPr>
          <w:rFonts w:cs="Times New Roman"/>
          <w:sz w:val="20"/>
        </w:rPr>
        <w:t>[11]  N. V. Chawla, K. W. Bowyer, L. O. Hall and W. P. Kegelmeyer, "SMOTE: Synthetic minority over-sampling technique," J. Artif. Intell. Res., vol. 16, pp. 321-357, 2002, doi: 10.1613/jair.953.</w:t>
      </w:r>
    </w:p>
    <w:p w:rsidR="002506F4" w:rsidRDefault="006C1167">
      <w:pPr>
        <w:spacing w:after="100" w:line="276" w:lineRule="auto"/>
        <w:ind w:left="648" w:hanging="648"/>
      </w:pPr>
      <w:r>
        <w:rPr>
          <w:rFonts w:cs="Times New Roman"/>
          <w:sz w:val="20"/>
        </w:rPr>
        <w:t>[12]  H. He and E. A. Garcia, "Learning from imbalanced dat</w:t>
      </w:r>
      <w:r>
        <w:rPr>
          <w:rFonts w:cs="Times New Roman"/>
          <w:sz w:val="20"/>
        </w:rPr>
        <w:t>a," IEEE Trans. Knowl. Data Eng., vol. 21, no. 9, pp. 1263-1284, Sep. 2009.</w:t>
      </w:r>
    </w:p>
    <w:p w:rsidR="002506F4" w:rsidRDefault="006C1167">
      <w:pPr>
        <w:spacing w:after="100" w:line="276" w:lineRule="auto"/>
        <w:ind w:left="648" w:hanging="648"/>
      </w:pPr>
      <w:r>
        <w:rPr>
          <w:rFonts w:cs="Times New Roman"/>
          <w:sz w:val="20"/>
        </w:rPr>
        <w:t>[13]  L. Breiman, "Random forests," Mach. Learn., vol. 45, no. 1, pp. 5-32, Oct. 2001, doi: 10.1023/A:1010933404324.</w:t>
      </w:r>
    </w:p>
    <w:p w:rsidR="002506F4" w:rsidRDefault="006C1167">
      <w:pPr>
        <w:spacing w:after="100" w:line="276" w:lineRule="auto"/>
        <w:ind w:left="648" w:hanging="648"/>
      </w:pPr>
      <w:r>
        <w:rPr>
          <w:rFonts w:cs="Times New Roman"/>
          <w:sz w:val="20"/>
        </w:rPr>
        <w:t>[14]  F. Pedregosa et al., "Scikit-learn: Machine learning in P</w:t>
      </w:r>
      <w:r>
        <w:rPr>
          <w:rFonts w:cs="Times New Roman"/>
          <w:sz w:val="20"/>
        </w:rPr>
        <w:t>ython," J. Mach. Learn. Res., vol. 12, pp. 2825-2830, 2011.</w:t>
      </w:r>
    </w:p>
    <w:p w:rsidR="002506F4" w:rsidRDefault="006C1167">
      <w:pPr>
        <w:spacing w:after="100" w:line="276" w:lineRule="auto"/>
        <w:ind w:left="648" w:hanging="648"/>
      </w:pPr>
      <w:r>
        <w:rPr>
          <w:rFonts w:cs="Times New Roman"/>
          <w:sz w:val="20"/>
        </w:rPr>
        <w:t xml:space="preserve">[15]  C. K. Leung, A. G. M. Pazdor and J. Souza, "Explainable artificial intelligence for data science on customer churn," in Proc. IEEE 8th Int. Conf. Data Sci. Adv. Anal. (DSAA), Oct. 2021, pp. </w:t>
      </w:r>
      <w:r>
        <w:rPr>
          <w:rFonts w:cs="Times New Roman"/>
          <w:sz w:val="20"/>
        </w:rPr>
        <w:t>1-10, doi: 10.1109/DSAA53316.2021.9564166.</w:t>
      </w:r>
    </w:p>
    <w:p w:rsidR="002506F4" w:rsidRDefault="006C1167">
      <w:pPr>
        <w:spacing w:after="100" w:line="276" w:lineRule="auto"/>
        <w:ind w:left="648" w:hanging="648"/>
      </w:pPr>
      <w:r>
        <w:rPr>
          <w:rFonts w:cs="Times New Roman"/>
          <w:sz w:val="20"/>
        </w:rPr>
        <w:t>[16]  J. Mohajon and A. S. Mohammad Arif, "Churn prediction with explainability for the customers of telecom industry," in Proc. Int. Conf. Inf. Commun. Technol. Sustain. Develop. (ICICT4SD), Sep. 2023, pp. 179-18</w:t>
      </w:r>
      <w:r>
        <w:rPr>
          <w:rFonts w:cs="Times New Roman"/>
          <w:sz w:val="20"/>
        </w:rPr>
        <w:t>3, doi: 10.1109/ICICT4SD59951.2023.10303395.</w:t>
      </w:r>
    </w:p>
    <w:p w:rsidR="002506F4" w:rsidRDefault="006C1167">
      <w:pPr>
        <w:spacing w:after="100" w:line="276" w:lineRule="auto"/>
        <w:ind w:left="648" w:hanging="648"/>
      </w:pPr>
      <w:r>
        <w:rPr>
          <w:rFonts w:cs="Times New Roman"/>
          <w:sz w:val="20"/>
        </w:rPr>
        <w:t>[17]  D. Y. C. Wang, L. A. Jordanger and J. C.-W. Lin, "Explainability of leverage points exploration for customer churn prediction," in Proc. IEEE Int. Conf. Big Data (BigData), Dec. 2023, pp. 5997-6004, doi: 1</w:t>
      </w:r>
      <w:r>
        <w:rPr>
          <w:rFonts w:cs="Times New Roman"/>
          <w:sz w:val="20"/>
        </w:rPr>
        <w:t>0.1109/BigData59044.2023.10386857.</w:t>
      </w:r>
    </w:p>
    <w:p w:rsidR="002506F4" w:rsidRDefault="006C1167">
      <w:pPr>
        <w:spacing w:after="100" w:line="276" w:lineRule="auto"/>
        <w:ind w:left="648" w:hanging="648"/>
      </w:pPr>
      <w:r>
        <w:rPr>
          <w:rFonts w:cs="Times New Roman"/>
          <w:sz w:val="20"/>
        </w:rPr>
        <w:lastRenderedPageBreak/>
        <w:t>[18]  M. Szelag and R. Slowinski, "Explaining and predicting customer churn by monotonic rules induced from ordinal data," Eur. J. Oper. Res., vol. 317, no. 2, pp. 414-424, Sep. 2024, doi: 10.1016/j.ejor.2023.09.028.</w:t>
      </w:r>
    </w:p>
    <w:p w:rsidR="002506F4" w:rsidRDefault="006C1167">
      <w:pPr>
        <w:spacing w:after="100" w:line="276" w:lineRule="auto"/>
        <w:ind w:left="648" w:hanging="648"/>
      </w:pPr>
      <w:r>
        <w:rPr>
          <w:rFonts w:cs="Times New Roman"/>
          <w:sz w:val="20"/>
        </w:rPr>
        <w:t>[19]</w:t>
      </w:r>
      <w:r>
        <w:rPr>
          <w:rFonts w:cs="Times New Roman"/>
          <w:sz w:val="20"/>
        </w:rPr>
        <w:t xml:space="preserve">  IBM, "Telco customer churn," sample data set (7,043 customers, 21 columns), distributed through Kaggle; also used in [1] and [3].</w:t>
      </w:r>
    </w:p>
    <w:p w:rsidR="002506F4" w:rsidRDefault="006C1167">
      <w:pPr>
        <w:spacing w:after="100" w:line="276" w:lineRule="auto"/>
        <w:ind w:left="648" w:hanging="648"/>
      </w:pPr>
      <w:r>
        <w:rPr>
          <w:rFonts w:cs="Times New Roman"/>
          <w:sz w:val="20"/>
        </w:rPr>
        <w:t>[20]  J. H. Friedman, "Greedy function approximation: A gradient boosting machine," Ann. Statist., vol. 29, no. 5, pp. 1189-</w:t>
      </w:r>
      <w:r>
        <w:rPr>
          <w:rFonts w:cs="Times New Roman"/>
          <w:sz w:val="20"/>
        </w:rPr>
        <w:t>1232, 2001.</w:t>
      </w:r>
    </w:p>
    <w:p w:rsidR="002506F4" w:rsidRDefault="006C1167">
      <w:pPr>
        <w:spacing w:after="100" w:line="276" w:lineRule="auto"/>
        <w:ind w:left="648" w:hanging="648"/>
      </w:pPr>
      <w:r>
        <w:rPr>
          <w:rFonts w:cs="Times New Roman"/>
          <w:sz w:val="20"/>
        </w:rPr>
        <w:t>[21]  S. Ramirez, "FastAPI documentation," https://fastapi.tiangolo.com (framework used for the API layer).</w:t>
      </w:r>
    </w:p>
    <w:sectPr w:rsidR="002506F4"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C1167">
      <w:pPr>
        <w:spacing w:after="0" w:line="240" w:lineRule="auto"/>
      </w:pPr>
      <w:r>
        <w:separator/>
      </w:r>
    </w:p>
  </w:endnote>
  <w:endnote w:type="continuationSeparator" w:id="0">
    <w:p w:rsidR="00000000" w:rsidRDefault="006C1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06F4" w:rsidRDefault="006C1167">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C1167">
      <w:pPr>
        <w:spacing w:after="0" w:line="240" w:lineRule="auto"/>
      </w:pPr>
      <w:r>
        <w:separator/>
      </w:r>
    </w:p>
  </w:footnote>
  <w:footnote w:type="continuationSeparator" w:id="0">
    <w:p w:rsidR="00000000" w:rsidRDefault="006C1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06F4" w:rsidRDefault="006C1167">
    <w:pPr>
      <w:pStyle w:val="Header"/>
      <w:jc w:val="center"/>
    </w:pPr>
    <w:r>
      <w:rPr>
        <w:rFonts w:cs="Times New Roman"/>
        <w:i/>
        <w:color w:val="555555"/>
        <w:sz w:val="20"/>
      </w:rPr>
      <w:t xml:space="preserve">Customer Churn Prediction in Telecom Industry  |  </w:t>
    </w:r>
    <w:r>
      <w:rPr>
        <w:rFonts w:cs="Times New Roman"/>
        <w:i/>
        <w:color w:val="555555"/>
        <w:sz w:val="20"/>
      </w:rPr>
      <w:t>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6F4"/>
    <w:rsid w:val="0029639D"/>
    <w:rsid w:val="00326F90"/>
    <w:rsid w:val="006C11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0B300F8-EEBD-4FF3-9D01-2540DD31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C357A0-EA44-44F3-ADA7-B08B20962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1826</Words>
  <Characters>10134</Characters>
  <Application>Microsoft Office Word</Application>
  <DocSecurity>0</DocSecurity>
  <Lines>224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2026-10-18T17:11:00Z</dcterms:modified>
  <cp:category/>
</cp:coreProperties>
</file>