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5670" w:rsidRDefault="00225670">
      <w:pPr>
        <w:spacing w:after="480" w:line="240" w:lineRule="auto"/>
      </w:pPr>
      <w:bookmarkStart w:id="0" w:name="_GoBack"/>
      <w:bookmarkEnd w:id="0"/>
    </w:p>
    <w:p w:rsidR="00225670" w:rsidRDefault="00422677">
      <w:pPr>
        <w:jc w:val="center"/>
      </w:pPr>
      <w:r>
        <w:rPr>
          <w:rFonts w:cs="Times New Roman"/>
          <w:b/>
          <w:sz w:val="36"/>
        </w:rPr>
        <w:t>FASHION DEMAND FORECASTING USING MACHINE LEARNING AND DOMAIN ADAPTATION</w:t>
      </w:r>
    </w:p>
    <w:p w:rsidR="00225670" w:rsidRDefault="00422677">
      <w:pPr>
        <w:spacing w:after="280"/>
        <w:jc w:val="center"/>
      </w:pPr>
      <w:r>
        <w:rPr>
          <w:rFonts w:cs="Times New Roman"/>
          <w:b/>
          <w:sz w:val="28"/>
        </w:rPr>
        <w:t>Block Diagrams (all)</w:t>
      </w:r>
    </w:p>
    <w:p w:rsidR="00225670" w:rsidRDefault="00422677">
      <w:pPr>
        <w:spacing w:after="40"/>
        <w:jc w:val="center"/>
      </w:pPr>
      <w:r>
        <w:rPr>
          <w:rFonts w:cs="Times New Roman"/>
        </w:rPr>
        <w:t>Department of Computer Science and Engineering, TKR College of Engineering &amp; Technology</w:t>
      </w:r>
    </w:p>
    <w:p w:rsidR="00225670" w:rsidRDefault="00422677">
      <w:pPr>
        <w:spacing w:after="240"/>
        <w:jc w:val="center"/>
      </w:pPr>
      <w:r>
        <w:rPr>
          <w:rFonts w:cs="Times New Roman"/>
        </w:rPr>
        <w:t>Batch A17 (CSE-A)  ·  Academic year [ACADEMIC YEAR]</w:t>
      </w:r>
    </w:p>
    <w:p w:rsidR="00225670" w:rsidRDefault="0042267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25670">
        <w:trPr>
          <w:cantSplit/>
          <w:tblHeader/>
          <w:jc w:val="center"/>
        </w:trPr>
        <w:tc>
          <w:tcPr>
            <w:tcW w:w="1008" w:type="dxa"/>
            <w:shd w:val="clear" w:color="auto" w:fill="1B2A41"/>
          </w:tcPr>
          <w:p w:rsidR="00225670" w:rsidRDefault="00422677">
            <w:pPr>
              <w:spacing w:after="40" w:line="240" w:lineRule="auto"/>
              <w:jc w:val="center"/>
            </w:pPr>
            <w:r>
              <w:rPr>
                <w:rFonts w:cs="Times New Roman"/>
                <w:b/>
                <w:color w:val="FFFFFF"/>
                <w:sz w:val="22"/>
              </w:rPr>
              <w:t>S.No.</w:t>
            </w:r>
          </w:p>
        </w:tc>
        <w:tc>
          <w:tcPr>
            <w:tcW w:w="4896" w:type="dxa"/>
            <w:shd w:val="clear" w:color="auto" w:fill="1B2A41"/>
          </w:tcPr>
          <w:p w:rsidR="00225670" w:rsidRDefault="00422677">
            <w:pPr>
              <w:spacing w:after="40" w:line="240" w:lineRule="auto"/>
              <w:jc w:val="center"/>
            </w:pPr>
            <w:r>
              <w:rPr>
                <w:rFonts w:cs="Times New Roman"/>
                <w:b/>
                <w:color w:val="FFFFFF"/>
                <w:sz w:val="22"/>
              </w:rPr>
              <w:t>Student name</w:t>
            </w:r>
          </w:p>
        </w:tc>
        <w:tc>
          <w:tcPr>
            <w:tcW w:w="2592" w:type="dxa"/>
            <w:shd w:val="clear" w:color="auto" w:fill="1B2A41"/>
          </w:tcPr>
          <w:p w:rsidR="00225670" w:rsidRDefault="00422677">
            <w:pPr>
              <w:spacing w:after="40" w:line="240" w:lineRule="auto"/>
              <w:jc w:val="center"/>
            </w:pPr>
            <w:r>
              <w:rPr>
                <w:rFonts w:cs="Times New Roman"/>
                <w:b/>
                <w:color w:val="FFFFFF"/>
                <w:sz w:val="22"/>
              </w:rPr>
              <w:t>Roll number</w:t>
            </w:r>
          </w:p>
        </w:tc>
      </w:tr>
      <w:tr w:rsidR="00225670">
        <w:trPr>
          <w:cantSplit/>
          <w:jc w:val="center"/>
        </w:trPr>
        <w:tc>
          <w:tcPr>
            <w:tcW w:w="1008" w:type="dxa"/>
          </w:tcPr>
          <w:p w:rsidR="00225670" w:rsidRDefault="00422677">
            <w:pPr>
              <w:spacing w:after="40" w:line="240" w:lineRule="auto"/>
              <w:jc w:val="center"/>
            </w:pPr>
            <w:r>
              <w:rPr>
                <w:rFonts w:cs="Times New Roman"/>
                <w:sz w:val="22"/>
              </w:rPr>
              <w:t>1</w:t>
            </w:r>
          </w:p>
        </w:tc>
        <w:tc>
          <w:tcPr>
            <w:tcW w:w="4896" w:type="dxa"/>
          </w:tcPr>
          <w:p w:rsidR="00225670" w:rsidRDefault="00422677">
            <w:pPr>
              <w:spacing w:after="40" w:line="240" w:lineRule="auto"/>
              <w:jc w:val="left"/>
            </w:pPr>
            <w:r>
              <w:rPr>
                <w:rFonts w:cs="Times New Roman"/>
                <w:sz w:val="22"/>
              </w:rPr>
              <w:t>B Shilpa</w:t>
            </w:r>
          </w:p>
        </w:tc>
        <w:tc>
          <w:tcPr>
            <w:tcW w:w="2592" w:type="dxa"/>
          </w:tcPr>
          <w:p w:rsidR="00225670" w:rsidRDefault="00422677">
            <w:pPr>
              <w:spacing w:after="40" w:line="240" w:lineRule="auto"/>
              <w:jc w:val="center"/>
            </w:pPr>
            <w:r>
              <w:rPr>
                <w:rFonts w:cs="Times New Roman"/>
                <w:sz w:val="22"/>
              </w:rPr>
              <w:t>23K91A0547</w:t>
            </w:r>
          </w:p>
        </w:tc>
      </w:tr>
      <w:tr w:rsidR="00225670">
        <w:trPr>
          <w:cantSplit/>
          <w:jc w:val="center"/>
        </w:trPr>
        <w:tc>
          <w:tcPr>
            <w:tcW w:w="1008" w:type="dxa"/>
          </w:tcPr>
          <w:p w:rsidR="00225670" w:rsidRDefault="00422677">
            <w:pPr>
              <w:spacing w:after="40" w:line="240" w:lineRule="auto"/>
              <w:jc w:val="center"/>
            </w:pPr>
            <w:r>
              <w:rPr>
                <w:rFonts w:cs="Times New Roman"/>
                <w:sz w:val="22"/>
              </w:rPr>
              <w:t>2</w:t>
            </w:r>
          </w:p>
        </w:tc>
        <w:tc>
          <w:tcPr>
            <w:tcW w:w="4896" w:type="dxa"/>
          </w:tcPr>
          <w:p w:rsidR="00225670" w:rsidRDefault="00422677">
            <w:pPr>
              <w:spacing w:after="40" w:line="240" w:lineRule="auto"/>
              <w:jc w:val="left"/>
            </w:pPr>
            <w:r>
              <w:rPr>
                <w:rFonts w:cs="Times New Roman"/>
                <w:sz w:val="22"/>
              </w:rPr>
              <w:t>B Hari Narayana</w:t>
            </w:r>
          </w:p>
        </w:tc>
        <w:tc>
          <w:tcPr>
            <w:tcW w:w="2592" w:type="dxa"/>
          </w:tcPr>
          <w:p w:rsidR="00225670" w:rsidRDefault="00422677">
            <w:pPr>
              <w:spacing w:after="40" w:line="240" w:lineRule="auto"/>
              <w:jc w:val="center"/>
            </w:pPr>
            <w:r>
              <w:rPr>
                <w:rFonts w:cs="Times New Roman"/>
                <w:sz w:val="22"/>
              </w:rPr>
              <w:t>23K91A0544</w:t>
            </w:r>
          </w:p>
        </w:tc>
      </w:tr>
      <w:tr w:rsidR="00225670">
        <w:trPr>
          <w:cantSplit/>
          <w:jc w:val="center"/>
        </w:trPr>
        <w:tc>
          <w:tcPr>
            <w:tcW w:w="1008" w:type="dxa"/>
          </w:tcPr>
          <w:p w:rsidR="00225670" w:rsidRDefault="00422677">
            <w:pPr>
              <w:spacing w:after="40" w:line="240" w:lineRule="auto"/>
              <w:jc w:val="center"/>
            </w:pPr>
            <w:r>
              <w:rPr>
                <w:rFonts w:cs="Times New Roman"/>
                <w:sz w:val="22"/>
              </w:rPr>
              <w:t>3</w:t>
            </w:r>
          </w:p>
        </w:tc>
        <w:tc>
          <w:tcPr>
            <w:tcW w:w="4896" w:type="dxa"/>
          </w:tcPr>
          <w:p w:rsidR="00225670" w:rsidRDefault="00422677">
            <w:pPr>
              <w:spacing w:after="40" w:line="240" w:lineRule="auto"/>
              <w:jc w:val="left"/>
            </w:pPr>
            <w:r>
              <w:rPr>
                <w:rFonts w:cs="Times New Roman"/>
                <w:sz w:val="22"/>
              </w:rPr>
              <w:t>A Rani Thejaswini</w:t>
            </w:r>
          </w:p>
        </w:tc>
        <w:tc>
          <w:tcPr>
            <w:tcW w:w="2592" w:type="dxa"/>
          </w:tcPr>
          <w:p w:rsidR="00225670" w:rsidRDefault="00422677">
            <w:pPr>
              <w:spacing w:after="40" w:line="240" w:lineRule="auto"/>
              <w:jc w:val="center"/>
            </w:pPr>
            <w:r>
              <w:rPr>
                <w:rFonts w:cs="Times New Roman"/>
                <w:sz w:val="22"/>
              </w:rPr>
              <w:t>23K91A0516</w:t>
            </w:r>
          </w:p>
        </w:tc>
      </w:tr>
      <w:tr w:rsidR="00225670">
        <w:trPr>
          <w:cantSplit/>
          <w:jc w:val="center"/>
        </w:trPr>
        <w:tc>
          <w:tcPr>
            <w:tcW w:w="1008" w:type="dxa"/>
          </w:tcPr>
          <w:p w:rsidR="00225670" w:rsidRDefault="00422677">
            <w:pPr>
              <w:spacing w:after="40" w:line="240" w:lineRule="auto"/>
              <w:jc w:val="center"/>
            </w:pPr>
            <w:r>
              <w:rPr>
                <w:rFonts w:cs="Times New Roman"/>
                <w:sz w:val="22"/>
              </w:rPr>
              <w:t>4</w:t>
            </w:r>
          </w:p>
        </w:tc>
        <w:tc>
          <w:tcPr>
            <w:tcW w:w="4896" w:type="dxa"/>
          </w:tcPr>
          <w:p w:rsidR="00225670" w:rsidRDefault="00422677">
            <w:pPr>
              <w:spacing w:after="40" w:line="240" w:lineRule="auto"/>
              <w:jc w:val="left"/>
            </w:pPr>
            <w:r>
              <w:rPr>
                <w:rFonts w:cs="Times New Roman"/>
                <w:sz w:val="22"/>
              </w:rPr>
              <w:t>A Sanjana</w:t>
            </w:r>
          </w:p>
        </w:tc>
        <w:tc>
          <w:tcPr>
            <w:tcW w:w="2592" w:type="dxa"/>
          </w:tcPr>
          <w:p w:rsidR="00225670" w:rsidRDefault="00422677">
            <w:pPr>
              <w:spacing w:after="40" w:line="240" w:lineRule="auto"/>
              <w:jc w:val="center"/>
            </w:pPr>
            <w:r>
              <w:rPr>
                <w:rFonts w:cs="Times New Roman"/>
                <w:sz w:val="22"/>
              </w:rPr>
              <w:t>23K91A0511</w:t>
            </w:r>
          </w:p>
        </w:tc>
      </w:tr>
    </w:tbl>
    <w:p w:rsidR="00225670" w:rsidRDefault="00225670">
      <w:pPr>
        <w:spacing w:line="192" w:lineRule="auto"/>
      </w:pPr>
    </w:p>
    <w:p w:rsidR="00225670" w:rsidRDefault="00422677">
      <w:pPr>
        <w:spacing w:after="200"/>
        <w:jc w:val="center"/>
      </w:pPr>
      <w:r>
        <w:rPr>
          <w:rFonts w:cs="Times New Roman"/>
          <w:b/>
        </w:rPr>
        <w:t>Project guide:</w:t>
      </w:r>
      <w:r>
        <w:rPr>
          <w:rFonts w:cs="Times New Roman"/>
        </w:rPr>
        <w:t xml:space="preserve"> Deepthi</w:t>
      </w:r>
    </w:p>
    <w:p w:rsidR="00225670" w:rsidRDefault="00422677">
      <w:r>
        <w:rPr>
          <w:rFonts w:cs="Times New Roman"/>
          <w:i/>
          <w:sz w:val="21"/>
        </w:rPr>
        <w:t>Chapter and section numbers quoted in the text (for</w:t>
      </w:r>
      <w:r>
        <w:rPr>
          <w:rFonts w:cs="Times New Roman"/>
          <w:i/>
          <w:sz w:val="21"/>
        </w:rPr>
        <w:t xml:space="preserve"> example Chapter 8 or Section 6.2) refer to the full project report, 17.Final Document. Figures and tables in this document are numbered from 1.</w:t>
      </w:r>
    </w:p>
    <w:p w:rsidR="00225670" w:rsidRDefault="00422677">
      <w:pPr>
        <w:pStyle w:val="Heading1"/>
      </w:pPr>
      <w:r>
        <w:t>1. INDEX OF DIAGRAMS</w:t>
      </w:r>
    </w:p>
    <w:p w:rsidR="00225670" w:rsidRDefault="00422677">
      <w:r>
        <w:rPr>
          <w:rFonts w:cs="Times New Roman"/>
        </w:rPr>
        <w:t xml:space="preserve">Every diagram was generated from the real design by </w:t>
      </w:r>
      <w:r>
        <w:rPr>
          <w:rFonts w:ascii="Consolas" w:eastAsia="Consolas" w:hAnsi="Consolas" w:cs="Consolas"/>
          <w:sz w:val="21"/>
        </w:rPr>
        <w:t>scripts/docs/make_diagrams.py</w:t>
      </w:r>
      <w:r>
        <w:rPr>
          <w:rFonts w:cs="Times New Roman"/>
        </w:rPr>
        <w:t xml:space="preserve"> (matplotlib, 150 dpi) and mirrors the code in </w:t>
      </w:r>
      <w:r>
        <w:rPr>
          <w:rFonts w:ascii="Consolas" w:eastAsia="Consolas" w:hAnsi="Consolas" w:cs="Consolas"/>
          <w:sz w:val="21"/>
        </w:rPr>
        <w:t>src/</w:t>
      </w:r>
      <w:r>
        <w:rPr>
          <w:rFonts w:cs="Times New Roman"/>
        </w:rPr>
        <w:t xml:space="preserve">, </w:t>
      </w:r>
      <w:r>
        <w:rPr>
          <w:rFonts w:ascii="Consolas" w:eastAsia="Consolas" w:hAnsi="Consolas" w:cs="Consolas"/>
          <w:sz w:val="21"/>
        </w:rPr>
        <w:t>backend/main.py</w:t>
      </w:r>
      <w:r>
        <w:rPr>
          <w:rFonts w:cs="Times New Roman"/>
        </w:rPr>
        <w:t xml:space="preserve"> and </w:t>
      </w:r>
      <w:r>
        <w:rPr>
          <w:rFonts w:ascii="Consolas" w:eastAsia="Consolas" w:hAnsi="Consolas" w:cs="Consolas"/>
          <w:sz w:val="21"/>
        </w:rPr>
        <w:t>backend/state.py</w:t>
      </w:r>
      <w:r>
        <w:rPr>
          <w:rFonts w:cs="Times New Roman"/>
        </w:rPr>
        <w:t>. TrendCast keeps no database: the uploaded tables, the features and the results live in process memory, and only the trained models are files, so the entity-relations</w:t>
      </w:r>
      <w:r>
        <w:rPr>
          <w:rFonts w:cs="Times New Roman"/>
        </w:rPr>
        <w:t>hip diagram shows logical entities.</w:t>
      </w:r>
    </w:p>
    <w:p w:rsidR="00225670" w:rsidRDefault="0042267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54"/>
        <w:gridCol w:w="3261"/>
        <w:gridCol w:w="4967"/>
      </w:tblGrid>
      <w:tr w:rsidR="00225670">
        <w:trPr>
          <w:cantSplit/>
          <w:tblHeader/>
          <w:jc w:val="center"/>
        </w:trPr>
        <w:tc>
          <w:tcPr>
            <w:tcW w:w="720" w:type="dxa"/>
            <w:shd w:val="clear" w:color="auto" w:fill="1B2A41"/>
          </w:tcPr>
          <w:p w:rsidR="00225670" w:rsidRDefault="00422677">
            <w:pPr>
              <w:spacing w:after="40" w:line="240" w:lineRule="auto"/>
              <w:jc w:val="center"/>
            </w:pPr>
            <w:r>
              <w:rPr>
                <w:rFonts w:cs="Times New Roman"/>
                <w:b/>
                <w:color w:val="FFFFFF"/>
                <w:sz w:val="21"/>
              </w:rPr>
              <w:t>No.</w:t>
            </w:r>
          </w:p>
        </w:tc>
        <w:tc>
          <w:tcPr>
            <w:tcW w:w="4320" w:type="dxa"/>
            <w:shd w:val="clear" w:color="auto" w:fill="1B2A41"/>
          </w:tcPr>
          <w:p w:rsidR="00225670" w:rsidRDefault="00422677">
            <w:pPr>
              <w:spacing w:after="40" w:line="240" w:lineRule="auto"/>
              <w:jc w:val="center"/>
            </w:pPr>
            <w:r>
              <w:rPr>
                <w:rFonts w:cs="Times New Roman"/>
                <w:b/>
                <w:color w:val="FFFFFF"/>
                <w:sz w:val="21"/>
              </w:rPr>
              <w:t>Diagram</w:t>
            </w:r>
          </w:p>
        </w:tc>
        <w:tc>
          <w:tcPr>
            <w:tcW w:w="4032" w:type="dxa"/>
            <w:shd w:val="clear" w:color="auto" w:fill="1B2A41"/>
          </w:tcPr>
          <w:p w:rsidR="00225670" w:rsidRDefault="00422677">
            <w:pPr>
              <w:spacing w:after="40" w:line="240" w:lineRule="auto"/>
              <w:jc w:val="center"/>
            </w:pPr>
            <w:r>
              <w:rPr>
                <w:rFonts w:cs="Times New Roman"/>
                <w:b/>
                <w:color w:val="FFFFFF"/>
                <w:sz w:val="21"/>
              </w:rPr>
              <w:t>Image file</w:t>
            </w:r>
          </w:p>
        </w:tc>
      </w:tr>
      <w:tr w:rsidR="00225670">
        <w:trPr>
          <w:cantSplit/>
          <w:jc w:val="center"/>
        </w:trPr>
        <w:tc>
          <w:tcPr>
            <w:tcW w:w="720" w:type="dxa"/>
          </w:tcPr>
          <w:p w:rsidR="00225670" w:rsidRDefault="00422677">
            <w:pPr>
              <w:spacing w:after="40" w:line="240" w:lineRule="auto"/>
              <w:jc w:val="center"/>
            </w:pPr>
            <w:r>
              <w:rPr>
                <w:rFonts w:cs="Times New Roman"/>
                <w:sz w:val="21"/>
              </w:rPr>
              <w:t>1</w:t>
            </w:r>
          </w:p>
        </w:tc>
        <w:tc>
          <w:tcPr>
            <w:tcW w:w="4320" w:type="dxa"/>
          </w:tcPr>
          <w:p w:rsidR="00225670" w:rsidRDefault="00422677">
            <w:pPr>
              <w:spacing w:after="40" w:line="240" w:lineRule="auto"/>
              <w:jc w:val="left"/>
            </w:pPr>
            <w:r>
              <w:rPr>
                <w:rFonts w:cs="Times New Roman"/>
                <w:sz w:val="21"/>
              </w:rPr>
              <w:t>System architecture</w:t>
            </w:r>
          </w:p>
        </w:tc>
        <w:tc>
          <w:tcPr>
            <w:tcW w:w="4032" w:type="dxa"/>
          </w:tcPr>
          <w:p w:rsidR="00225670" w:rsidRDefault="00422677">
            <w:pPr>
              <w:spacing w:after="40" w:line="240" w:lineRule="auto"/>
              <w:jc w:val="left"/>
            </w:pPr>
            <w:r>
              <w:rPr>
                <w:rFonts w:ascii="Consolas" w:eastAsia="Consolas" w:hAnsi="Consolas" w:cs="Consolas"/>
                <w:sz w:val="18"/>
              </w:rPr>
              <w:t>docs/diagrams/01_system_architecture.png</w:t>
            </w:r>
          </w:p>
        </w:tc>
      </w:tr>
      <w:tr w:rsidR="00225670">
        <w:trPr>
          <w:cantSplit/>
          <w:jc w:val="center"/>
        </w:trPr>
        <w:tc>
          <w:tcPr>
            <w:tcW w:w="720" w:type="dxa"/>
          </w:tcPr>
          <w:p w:rsidR="00225670" w:rsidRDefault="00422677">
            <w:pPr>
              <w:spacing w:after="40" w:line="240" w:lineRule="auto"/>
              <w:jc w:val="center"/>
            </w:pPr>
            <w:r>
              <w:rPr>
                <w:rFonts w:cs="Times New Roman"/>
                <w:sz w:val="21"/>
              </w:rPr>
              <w:t>2</w:t>
            </w:r>
          </w:p>
        </w:tc>
        <w:tc>
          <w:tcPr>
            <w:tcW w:w="4320" w:type="dxa"/>
          </w:tcPr>
          <w:p w:rsidR="00225670" w:rsidRDefault="00422677">
            <w:pPr>
              <w:spacing w:after="40" w:line="240" w:lineRule="auto"/>
              <w:jc w:val="left"/>
            </w:pPr>
            <w:r>
              <w:rPr>
                <w:rFonts w:cs="Times New Roman"/>
                <w:sz w:val="21"/>
              </w:rPr>
              <w:t>High-level workflow</w:t>
            </w:r>
          </w:p>
        </w:tc>
        <w:tc>
          <w:tcPr>
            <w:tcW w:w="4032" w:type="dxa"/>
          </w:tcPr>
          <w:p w:rsidR="00225670" w:rsidRDefault="00422677">
            <w:pPr>
              <w:spacing w:after="40" w:line="240" w:lineRule="auto"/>
              <w:jc w:val="left"/>
            </w:pPr>
            <w:r>
              <w:rPr>
                <w:rFonts w:ascii="Consolas" w:eastAsia="Consolas" w:hAnsi="Consolas" w:cs="Consolas"/>
                <w:sz w:val="18"/>
              </w:rPr>
              <w:t>docs/diagrams/02_high_level_workflow.png</w:t>
            </w:r>
          </w:p>
        </w:tc>
      </w:tr>
      <w:tr w:rsidR="00225670">
        <w:trPr>
          <w:cantSplit/>
          <w:jc w:val="center"/>
        </w:trPr>
        <w:tc>
          <w:tcPr>
            <w:tcW w:w="720" w:type="dxa"/>
          </w:tcPr>
          <w:p w:rsidR="00225670" w:rsidRDefault="00422677">
            <w:pPr>
              <w:spacing w:after="40" w:line="240" w:lineRule="auto"/>
              <w:jc w:val="center"/>
            </w:pPr>
            <w:r>
              <w:rPr>
                <w:rFonts w:cs="Times New Roman"/>
                <w:sz w:val="21"/>
              </w:rPr>
              <w:t>3</w:t>
            </w:r>
          </w:p>
        </w:tc>
        <w:tc>
          <w:tcPr>
            <w:tcW w:w="4320" w:type="dxa"/>
          </w:tcPr>
          <w:p w:rsidR="00225670" w:rsidRDefault="00422677">
            <w:pPr>
              <w:spacing w:after="40" w:line="240" w:lineRule="auto"/>
              <w:jc w:val="left"/>
            </w:pPr>
            <w:r>
              <w:rPr>
                <w:rFonts w:cs="Times New Roman"/>
                <w:sz w:val="21"/>
              </w:rPr>
              <w:t xml:space="preserve">Data </w:t>
            </w:r>
            <w:r>
              <w:rPr>
                <w:rFonts w:cs="Times New Roman"/>
                <w:sz w:val="21"/>
              </w:rPr>
              <w:t>flow diagram, level 0</w:t>
            </w:r>
          </w:p>
        </w:tc>
        <w:tc>
          <w:tcPr>
            <w:tcW w:w="4032" w:type="dxa"/>
          </w:tcPr>
          <w:p w:rsidR="00225670" w:rsidRDefault="00422677">
            <w:pPr>
              <w:spacing w:after="40" w:line="240" w:lineRule="auto"/>
              <w:jc w:val="left"/>
            </w:pPr>
            <w:r>
              <w:rPr>
                <w:rFonts w:ascii="Consolas" w:eastAsia="Consolas" w:hAnsi="Consolas" w:cs="Consolas"/>
                <w:sz w:val="18"/>
              </w:rPr>
              <w:t>docs/diagrams/03_dfd_level0.png</w:t>
            </w:r>
          </w:p>
        </w:tc>
      </w:tr>
      <w:tr w:rsidR="00225670">
        <w:trPr>
          <w:cantSplit/>
          <w:jc w:val="center"/>
        </w:trPr>
        <w:tc>
          <w:tcPr>
            <w:tcW w:w="720" w:type="dxa"/>
          </w:tcPr>
          <w:p w:rsidR="00225670" w:rsidRDefault="00422677">
            <w:pPr>
              <w:spacing w:after="40" w:line="240" w:lineRule="auto"/>
              <w:jc w:val="center"/>
            </w:pPr>
            <w:r>
              <w:rPr>
                <w:rFonts w:cs="Times New Roman"/>
                <w:sz w:val="21"/>
              </w:rPr>
              <w:t>4</w:t>
            </w:r>
          </w:p>
        </w:tc>
        <w:tc>
          <w:tcPr>
            <w:tcW w:w="4320" w:type="dxa"/>
          </w:tcPr>
          <w:p w:rsidR="00225670" w:rsidRDefault="00422677">
            <w:pPr>
              <w:spacing w:after="40" w:line="240" w:lineRule="auto"/>
              <w:jc w:val="left"/>
            </w:pPr>
            <w:r>
              <w:rPr>
                <w:rFonts w:cs="Times New Roman"/>
                <w:sz w:val="21"/>
              </w:rPr>
              <w:t>Data flow diagram, level 1</w:t>
            </w:r>
          </w:p>
        </w:tc>
        <w:tc>
          <w:tcPr>
            <w:tcW w:w="4032" w:type="dxa"/>
          </w:tcPr>
          <w:p w:rsidR="00225670" w:rsidRDefault="00422677">
            <w:pPr>
              <w:spacing w:after="40" w:line="240" w:lineRule="auto"/>
              <w:jc w:val="left"/>
            </w:pPr>
            <w:r>
              <w:rPr>
                <w:rFonts w:ascii="Consolas" w:eastAsia="Consolas" w:hAnsi="Consolas" w:cs="Consolas"/>
                <w:sz w:val="18"/>
              </w:rPr>
              <w:t>docs/diagrams/04_dfd_level1.png</w:t>
            </w:r>
          </w:p>
        </w:tc>
      </w:tr>
      <w:tr w:rsidR="00225670">
        <w:trPr>
          <w:cantSplit/>
          <w:jc w:val="center"/>
        </w:trPr>
        <w:tc>
          <w:tcPr>
            <w:tcW w:w="720" w:type="dxa"/>
          </w:tcPr>
          <w:p w:rsidR="00225670" w:rsidRDefault="00422677">
            <w:pPr>
              <w:spacing w:after="40" w:line="240" w:lineRule="auto"/>
              <w:jc w:val="center"/>
            </w:pPr>
            <w:r>
              <w:rPr>
                <w:rFonts w:cs="Times New Roman"/>
                <w:sz w:val="21"/>
              </w:rPr>
              <w:t>5</w:t>
            </w:r>
          </w:p>
        </w:tc>
        <w:tc>
          <w:tcPr>
            <w:tcW w:w="4320" w:type="dxa"/>
          </w:tcPr>
          <w:p w:rsidR="00225670" w:rsidRDefault="00422677">
            <w:pPr>
              <w:spacing w:after="40" w:line="240" w:lineRule="auto"/>
              <w:jc w:val="left"/>
            </w:pPr>
            <w:r>
              <w:rPr>
                <w:rFonts w:cs="Times New Roman"/>
                <w:sz w:val="21"/>
              </w:rPr>
              <w:t>Data flow diagram, level 2</w:t>
            </w:r>
          </w:p>
        </w:tc>
        <w:tc>
          <w:tcPr>
            <w:tcW w:w="4032" w:type="dxa"/>
          </w:tcPr>
          <w:p w:rsidR="00225670" w:rsidRDefault="00422677">
            <w:pPr>
              <w:spacing w:after="40" w:line="240" w:lineRule="auto"/>
              <w:jc w:val="left"/>
            </w:pPr>
            <w:r>
              <w:rPr>
                <w:rFonts w:ascii="Consolas" w:eastAsia="Consolas" w:hAnsi="Consolas" w:cs="Consolas"/>
                <w:sz w:val="18"/>
              </w:rPr>
              <w:t>docs/diagrams/05_dfd_level2.png</w:t>
            </w:r>
          </w:p>
        </w:tc>
      </w:tr>
      <w:tr w:rsidR="00225670">
        <w:trPr>
          <w:cantSplit/>
          <w:jc w:val="center"/>
        </w:trPr>
        <w:tc>
          <w:tcPr>
            <w:tcW w:w="720" w:type="dxa"/>
          </w:tcPr>
          <w:p w:rsidR="00225670" w:rsidRDefault="00422677">
            <w:pPr>
              <w:spacing w:after="40" w:line="240" w:lineRule="auto"/>
              <w:jc w:val="center"/>
            </w:pPr>
            <w:r>
              <w:rPr>
                <w:rFonts w:cs="Times New Roman"/>
                <w:sz w:val="21"/>
              </w:rPr>
              <w:lastRenderedPageBreak/>
              <w:t>6</w:t>
            </w:r>
          </w:p>
        </w:tc>
        <w:tc>
          <w:tcPr>
            <w:tcW w:w="4320" w:type="dxa"/>
          </w:tcPr>
          <w:p w:rsidR="00225670" w:rsidRDefault="00422677">
            <w:pPr>
              <w:spacing w:after="40" w:line="240" w:lineRule="auto"/>
              <w:jc w:val="left"/>
            </w:pPr>
            <w:r>
              <w:rPr>
                <w:rFonts w:cs="Times New Roman"/>
                <w:sz w:val="21"/>
              </w:rPr>
              <w:t>UML class diagram</w:t>
            </w:r>
          </w:p>
        </w:tc>
        <w:tc>
          <w:tcPr>
            <w:tcW w:w="4032" w:type="dxa"/>
          </w:tcPr>
          <w:p w:rsidR="00225670" w:rsidRDefault="00422677">
            <w:pPr>
              <w:spacing w:after="40" w:line="240" w:lineRule="auto"/>
              <w:jc w:val="left"/>
            </w:pPr>
            <w:r>
              <w:rPr>
                <w:rFonts w:ascii="Consolas" w:eastAsia="Consolas" w:hAnsi="Consolas" w:cs="Consolas"/>
                <w:sz w:val="18"/>
              </w:rPr>
              <w:t>docs/diagrams/06_uml_class.png</w:t>
            </w:r>
          </w:p>
        </w:tc>
      </w:tr>
      <w:tr w:rsidR="00225670">
        <w:trPr>
          <w:cantSplit/>
          <w:jc w:val="center"/>
        </w:trPr>
        <w:tc>
          <w:tcPr>
            <w:tcW w:w="720" w:type="dxa"/>
          </w:tcPr>
          <w:p w:rsidR="00225670" w:rsidRDefault="00422677">
            <w:pPr>
              <w:spacing w:after="40" w:line="240" w:lineRule="auto"/>
              <w:jc w:val="center"/>
            </w:pPr>
            <w:r>
              <w:rPr>
                <w:rFonts w:cs="Times New Roman"/>
                <w:sz w:val="21"/>
              </w:rPr>
              <w:t>7</w:t>
            </w:r>
          </w:p>
        </w:tc>
        <w:tc>
          <w:tcPr>
            <w:tcW w:w="4320" w:type="dxa"/>
          </w:tcPr>
          <w:p w:rsidR="00225670" w:rsidRDefault="00422677">
            <w:pPr>
              <w:spacing w:after="40" w:line="240" w:lineRule="auto"/>
              <w:jc w:val="left"/>
            </w:pPr>
            <w:r>
              <w:rPr>
                <w:rFonts w:cs="Times New Roman"/>
                <w:sz w:val="21"/>
              </w:rPr>
              <w:t>Sequence diagram of the</w:t>
            </w:r>
            <w:r>
              <w:rPr>
                <w:rFonts w:cs="Times New Roman"/>
                <w:sz w:val="21"/>
              </w:rPr>
              <w:t xml:space="preserve"> main flow</w:t>
            </w:r>
          </w:p>
        </w:tc>
        <w:tc>
          <w:tcPr>
            <w:tcW w:w="4032" w:type="dxa"/>
          </w:tcPr>
          <w:p w:rsidR="00225670" w:rsidRDefault="00422677">
            <w:pPr>
              <w:spacing w:after="40" w:line="240" w:lineRule="auto"/>
              <w:jc w:val="left"/>
            </w:pPr>
            <w:r>
              <w:rPr>
                <w:rFonts w:ascii="Consolas" w:eastAsia="Consolas" w:hAnsi="Consolas" w:cs="Consolas"/>
                <w:sz w:val="18"/>
              </w:rPr>
              <w:t>docs/diagrams/07_sequence_flow.png</w:t>
            </w:r>
          </w:p>
        </w:tc>
      </w:tr>
      <w:tr w:rsidR="00225670">
        <w:trPr>
          <w:cantSplit/>
          <w:jc w:val="center"/>
        </w:trPr>
        <w:tc>
          <w:tcPr>
            <w:tcW w:w="720" w:type="dxa"/>
          </w:tcPr>
          <w:p w:rsidR="00225670" w:rsidRDefault="00422677">
            <w:pPr>
              <w:spacing w:after="40" w:line="240" w:lineRule="auto"/>
              <w:jc w:val="center"/>
            </w:pPr>
            <w:r>
              <w:rPr>
                <w:rFonts w:cs="Times New Roman"/>
                <w:sz w:val="21"/>
              </w:rPr>
              <w:t>8</w:t>
            </w:r>
          </w:p>
        </w:tc>
        <w:tc>
          <w:tcPr>
            <w:tcW w:w="4320" w:type="dxa"/>
          </w:tcPr>
          <w:p w:rsidR="00225670" w:rsidRDefault="00422677">
            <w:pPr>
              <w:spacing w:after="40" w:line="240" w:lineRule="auto"/>
              <w:jc w:val="left"/>
            </w:pPr>
            <w:r>
              <w:rPr>
                <w:rFonts w:cs="Times New Roman"/>
                <w:sz w:val="21"/>
              </w:rPr>
              <w:t>Use-case diagram</w:t>
            </w:r>
          </w:p>
        </w:tc>
        <w:tc>
          <w:tcPr>
            <w:tcW w:w="4032" w:type="dxa"/>
          </w:tcPr>
          <w:p w:rsidR="00225670" w:rsidRDefault="00422677">
            <w:pPr>
              <w:spacing w:after="40" w:line="240" w:lineRule="auto"/>
              <w:jc w:val="left"/>
            </w:pPr>
            <w:r>
              <w:rPr>
                <w:rFonts w:ascii="Consolas" w:eastAsia="Consolas" w:hAnsi="Consolas" w:cs="Consolas"/>
                <w:sz w:val="18"/>
              </w:rPr>
              <w:t>docs/diagrams/08_use_case.png</w:t>
            </w:r>
          </w:p>
        </w:tc>
      </w:tr>
      <w:tr w:rsidR="00225670">
        <w:trPr>
          <w:cantSplit/>
          <w:jc w:val="center"/>
        </w:trPr>
        <w:tc>
          <w:tcPr>
            <w:tcW w:w="720" w:type="dxa"/>
          </w:tcPr>
          <w:p w:rsidR="00225670" w:rsidRDefault="00422677">
            <w:pPr>
              <w:spacing w:after="40" w:line="240" w:lineRule="auto"/>
              <w:jc w:val="center"/>
            </w:pPr>
            <w:r>
              <w:rPr>
                <w:rFonts w:cs="Times New Roman"/>
                <w:sz w:val="21"/>
              </w:rPr>
              <w:t>9</w:t>
            </w:r>
          </w:p>
        </w:tc>
        <w:tc>
          <w:tcPr>
            <w:tcW w:w="4320" w:type="dxa"/>
          </w:tcPr>
          <w:p w:rsidR="00225670" w:rsidRDefault="00422677">
            <w:pPr>
              <w:spacing w:after="40" w:line="240" w:lineRule="auto"/>
              <w:jc w:val="left"/>
            </w:pPr>
            <w:r>
              <w:rPr>
                <w:rFonts w:cs="Times New Roman"/>
                <w:sz w:val="21"/>
              </w:rPr>
              <w:t>Entity-relationship diagram (logical)</w:t>
            </w:r>
          </w:p>
        </w:tc>
        <w:tc>
          <w:tcPr>
            <w:tcW w:w="4032" w:type="dxa"/>
          </w:tcPr>
          <w:p w:rsidR="00225670" w:rsidRDefault="00422677">
            <w:pPr>
              <w:spacing w:after="40" w:line="240" w:lineRule="auto"/>
              <w:jc w:val="left"/>
            </w:pPr>
            <w:r>
              <w:rPr>
                <w:rFonts w:ascii="Consolas" w:eastAsia="Consolas" w:hAnsi="Consolas" w:cs="Consolas"/>
                <w:sz w:val="18"/>
              </w:rPr>
              <w:t>docs/diagrams/09_er_diagram.png</w:t>
            </w:r>
          </w:p>
        </w:tc>
      </w:tr>
      <w:tr w:rsidR="00225670">
        <w:trPr>
          <w:cantSplit/>
          <w:jc w:val="center"/>
        </w:trPr>
        <w:tc>
          <w:tcPr>
            <w:tcW w:w="720" w:type="dxa"/>
          </w:tcPr>
          <w:p w:rsidR="00225670" w:rsidRDefault="00422677">
            <w:pPr>
              <w:spacing w:after="40" w:line="240" w:lineRule="auto"/>
              <w:jc w:val="center"/>
            </w:pPr>
            <w:r>
              <w:rPr>
                <w:rFonts w:cs="Times New Roman"/>
                <w:sz w:val="21"/>
              </w:rPr>
              <w:t>10</w:t>
            </w:r>
          </w:p>
        </w:tc>
        <w:tc>
          <w:tcPr>
            <w:tcW w:w="4320" w:type="dxa"/>
          </w:tcPr>
          <w:p w:rsidR="00225670" w:rsidRDefault="00422677">
            <w:pPr>
              <w:spacing w:after="40" w:line="240" w:lineRule="auto"/>
              <w:jc w:val="left"/>
            </w:pPr>
            <w:r>
              <w:rPr>
                <w:rFonts w:cs="Times New Roman"/>
                <w:sz w:val="21"/>
              </w:rPr>
              <w:t>Core algorithm flowchart: training and forecasting</w:t>
            </w:r>
          </w:p>
        </w:tc>
        <w:tc>
          <w:tcPr>
            <w:tcW w:w="4032" w:type="dxa"/>
          </w:tcPr>
          <w:p w:rsidR="00225670" w:rsidRDefault="00422677">
            <w:pPr>
              <w:spacing w:after="40" w:line="240" w:lineRule="auto"/>
              <w:jc w:val="left"/>
            </w:pPr>
            <w:r>
              <w:rPr>
                <w:rFonts w:ascii="Consolas" w:eastAsia="Consolas" w:hAnsi="Consolas" w:cs="Consolas"/>
                <w:sz w:val="18"/>
              </w:rPr>
              <w:t>docs/diagrams/10_flowchart_algorithm.png</w:t>
            </w:r>
          </w:p>
        </w:tc>
      </w:tr>
      <w:tr w:rsidR="00225670">
        <w:trPr>
          <w:cantSplit/>
          <w:jc w:val="center"/>
        </w:trPr>
        <w:tc>
          <w:tcPr>
            <w:tcW w:w="720" w:type="dxa"/>
          </w:tcPr>
          <w:p w:rsidR="00225670" w:rsidRDefault="00422677">
            <w:pPr>
              <w:spacing w:after="40" w:line="240" w:lineRule="auto"/>
              <w:jc w:val="center"/>
            </w:pPr>
            <w:r>
              <w:rPr>
                <w:rFonts w:cs="Times New Roman"/>
                <w:sz w:val="21"/>
              </w:rPr>
              <w:t>11</w:t>
            </w:r>
          </w:p>
        </w:tc>
        <w:tc>
          <w:tcPr>
            <w:tcW w:w="4320" w:type="dxa"/>
          </w:tcPr>
          <w:p w:rsidR="00225670" w:rsidRDefault="00422677">
            <w:pPr>
              <w:spacing w:after="40" w:line="240" w:lineRule="auto"/>
              <w:jc w:val="left"/>
            </w:pPr>
            <w:r>
              <w:rPr>
                <w:rFonts w:cs="Times New Roman"/>
                <w:sz w:val="21"/>
              </w:rPr>
              <w:t>Domain-adaptation flowchart</w:t>
            </w:r>
          </w:p>
        </w:tc>
        <w:tc>
          <w:tcPr>
            <w:tcW w:w="4032" w:type="dxa"/>
          </w:tcPr>
          <w:p w:rsidR="00225670" w:rsidRDefault="00422677">
            <w:pPr>
              <w:spacing w:after="40" w:line="240" w:lineRule="auto"/>
              <w:jc w:val="left"/>
            </w:pPr>
            <w:r>
              <w:rPr>
                <w:rFonts w:ascii="Consolas" w:eastAsia="Consolas" w:hAnsi="Consolas" w:cs="Consolas"/>
                <w:sz w:val="18"/>
              </w:rPr>
              <w:t>docs/diagrams/11_flowchart_domain_adaptation.png</w:t>
            </w:r>
          </w:p>
        </w:tc>
      </w:tr>
      <w:tr w:rsidR="00225670">
        <w:trPr>
          <w:cantSplit/>
          <w:jc w:val="center"/>
        </w:trPr>
        <w:tc>
          <w:tcPr>
            <w:tcW w:w="720" w:type="dxa"/>
          </w:tcPr>
          <w:p w:rsidR="00225670" w:rsidRDefault="00422677">
            <w:pPr>
              <w:spacing w:after="40" w:line="240" w:lineRule="auto"/>
              <w:jc w:val="center"/>
            </w:pPr>
            <w:r>
              <w:rPr>
                <w:rFonts w:cs="Times New Roman"/>
                <w:sz w:val="21"/>
              </w:rPr>
              <w:t>12</w:t>
            </w:r>
          </w:p>
        </w:tc>
        <w:tc>
          <w:tcPr>
            <w:tcW w:w="4320" w:type="dxa"/>
          </w:tcPr>
          <w:p w:rsidR="00225670" w:rsidRDefault="00422677">
            <w:pPr>
              <w:spacing w:after="40" w:line="240" w:lineRule="auto"/>
              <w:jc w:val="left"/>
            </w:pPr>
            <w:r>
              <w:rPr>
                <w:rFonts w:cs="Times New Roman"/>
                <w:sz w:val="21"/>
              </w:rPr>
              <w:t>Model and feature architecture</w:t>
            </w:r>
          </w:p>
        </w:tc>
        <w:tc>
          <w:tcPr>
            <w:tcW w:w="4032" w:type="dxa"/>
          </w:tcPr>
          <w:p w:rsidR="00225670" w:rsidRDefault="00422677">
            <w:pPr>
              <w:spacing w:after="40" w:line="240" w:lineRule="auto"/>
              <w:jc w:val="left"/>
            </w:pPr>
            <w:r>
              <w:rPr>
                <w:rFonts w:ascii="Consolas" w:eastAsia="Consolas" w:hAnsi="Consolas" w:cs="Consolas"/>
                <w:sz w:val="18"/>
              </w:rPr>
              <w:t>docs/diagrams/12_model_architecture.png</w:t>
            </w:r>
          </w:p>
        </w:tc>
      </w:tr>
    </w:tbl>
    <w:p w:rsidR="00225670" w:rsidRDefault="00225670">
      <w:pPr>
        <w:spacing w:line="192" w:lineRule="auto"/>
      </w:pPr>
    </w:p>
    <w:p w:rsidR="00225670" w:rsidRDefault="00422677">
      <w:pPr>
        <w:pStyle w:val="Heading1"/>
        <w:pageBreakBefore/>
      </w:pPr>
      <w:r>
        <w:lastRenderedPageBreak/>
        <w:t>2. DIAGRAMS</w:t>
      </w:r>
    </w:p>
    <w:p w:rsidR="00225670" w:rsidRDefault="00422677">
      <w:pPr>
        <w:pStyle w:val="Heading2"/>
      </w:pPr>
      <w:r>
        <w:t>System architecture</w:t>
      </w:r>
    </w:p>
    <w:p w:rsidR="00225670" w:rsidRDefault="00422677">
      <w:pPr>
        <w:keepNext/>
        <w:spacing w:after="80" w:line="240" w:lineRule="auto"/>
        <w:jc w:val="center"/>
      </w:pPr>
      <w:r>
        <w:rPr>
          <w:noProof/>
        </w:rPr>
        <w:drawing>
          <wp:inline distT="0" distB="0" distL="0" distR="0">
            <wp:extent cx="5303520" cy="35678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3567823"/>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Layered architecture of TrendCast: React console, Vite proxy, FastAPI application with 22 routes, the src/ pipeline modules, and in-memory state plus joblib model files.</w:t>
      </w:r>
    </w:p>
    <w:p w:rsidR="00225670" w:rsidRDefault="00422677">
      <w:r>
        <w:rPr>
          <w:rFonts w:cs="Times New Roman"/>
        </w:rPr>
        <w:t>The presentation tier is the React console on port 5317 wi</w:t>
      </w:r>
      <w:r>
        <w:rPr>
          <w:rFonts w:cs="Times New Roman"/>
        </w:rPr>
        <w:t>th thirteen pages; the Vite development server proxies every /api request to the FastAPI application on port 8317. The application exposes 22 routes and keeps one process-wide pipeline state, a dictionary guarded by a re-entrant lock, in the same way the o</w:t>
      </w:r>
      <w:r>
        <w:rPr>
          <w:rFonts w:cs="Times New Roman"/>
        </w:rPr>
        <w:t>riginal Streamlit page used its session state. Each route calls the same functions of the src/ package (loading, preprocessing, daily demand, feature engineering, baselines, XGBoost, domain adaptation, evaluation). Nothing is stored in a database: uploaded</w:t>
      </w:r>
      <w:r>
        <w:rPr>
          <w:rFonts w:cs="Times New Roman"/>
        </w:rPr>
        <w:t xml:space="preserve"> tables, features and results live in memory, and only the trained models are written to models/ as joblib files. The optional AI Insights route sends aggregated numbers (never raw rows) to the Gemini REST service using the key in .env. The original Stream</w:t>
      </w:r>
      <w:r>
        <w:rPr>
          <w:rFonts w:cs="Times New Roman"/>
        </w:rPr>
        <w:t>lit application (app.py) remains as a separate front end over the same src/ package.</w:t>
      </w:r>
    </w:p>
    <w:p w:rsidR="00225670" w:rsidRDefault="00422677">
      <w:pPr>
        <w:pStyle w:val="Heading2"/>
      </w:pPr>
      <w:r>
        <w:lastRenderedPageBreak/>
        <w:t>High-level workflow</w:t>
      </w:r>
    </w:p>
    <w:p w:rsidR="00225670" w:rsidRDefault="00422677">
      <w:pPr>
        <w:keepNext/>
        <w:spacing w:after="80" w:line="240" w:lineRule="auto"/>
        <w:jc w:val="center"/>
      </w:pPr>
      <w:r>
        <w:rPr>
          <w:noProof/>
        </w:rPr>
        <w:drawing>
          <wp:inline distT="0" distB="0" distL="0" distR="0">
            <wp:extent cx="5303520" cy="28928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2892829"/>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upload, clean and merge, daily demand, features, chronological split, baseline and XGBoost, d</w:t>
      </w:r>
      <w:r>
        <w:rPr>
          <w:rFonts w:cs="Times New Roman"/>
        </w:rPr>
        <w:t>omain adaptation, evaluation, forecast and optional AI explanation.</w:t>
      </w:r>
    </w:p>
    <w:p w:rsidR="00225670" w:rsidRDefault="00422677">
      <w:r>
        <w:rPr>
          <w:rFonts w:cs="Times New Roman"/>
        </w:rPr>
        <w:t xml:space="preserve">A user uploads the transactions and articles files (customers optional). The data are validated, cleaned, merged and aggregated to units sold per article per day, with missing days filled </w:t>
      </w:r>
      <w:r>
        <w:rPr>
          <w:rFonts w:cs="Times New Roman"/>
        </w:rPr>
        <w:t>by zero. Calendar, lag, rolling and encoded attribute features are added, the table is split by date, and a moving-average baseline and an XGBoost model are trained and compared. Domain adaptation then trains on a source domain and tests on a target domain</w:t>
      </w:r>
      <w:r>
        <w:rPr>
          <w:rFonts w:cs="Times New Roman"/>
        </w:rPr>
        <w:t xml:space="preserve"> with and without importance weights. The evaluation page shows the comparison and the feature importance, the forecast page rolls the model forward 7, 14 or 30 days, and the AI Insights page can explain the numbers in plain language. Every step is gated: </w:t>
      </w:r>
      <w:r>
        <w:rPr>
          <w:rFonts w:cs="Times New Roman"/>
        </w:rPr>
        <w:t>a later page refuses to run until the earlier step has produced its output.</w:t>
      </w:r>
    </w:p>
    <w:p w:rsidR="00225670" w:rsidRDefault="00422677">
      <w:pPr>
        <w:pStyle w:val="Heading2"/>
      </w:pPr>
      <w:r>
        <w:lastRenderedPageBreak/>
        <w:t>Data flow diagram, level 0</w:t>
      </w:r>
    </w:p>
    <w:p w:rsidR="00225670" w:rsidRDefault="00422677">
      <w:pPr>
        <w:keepNext/>
        <w:spacing w:after="80" w:line="240" w:lineRule="auto"/>
        <w:jc w:val="center"/>
      </w:pPr>
      <w:r>
        <w:rPr>
          <w:noProof/>
        </w:rPr>
        <w:drawing>
          <wp:inline distT="0" distB="0" distL="0" distR="0">
            <wp:extent cx="5303520" cy="23624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362477"/>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TrendCast as one process with the analyst, the dataset provider and the optional Gemi</w:t>
      </w:r>
      <w:r>
        <w:rPr>
          <w:rFonts w:cs="Times New Roman"/>
        </w:rPr>
        <w:t>ni service.</w:t>
      </w:r>
    </w:p>
    <w:p w:rsidR="00225670" w:rsidRDefault="00422677">
      <w:r>
        <w:rPr>
          <w:rFonts w:cs="Times New Roman"/>
        </w:rPr>
        <w:t>At level 0 the whole product is a single process. The analyst sends the transaction, article and customer files, a row limit, a training fraction, tuning and domain choices and a forecast request, and receives the data-quality report, explorati</w:t>
      </w:r>
      <w:r>
        <w:rPr>
          <w:rFonts w:cs="Times New Roman"/>
        </w:rPr>
        <w:t>on charts, model metrics, the domain-shift report, feature importance and forecasts. The dataset provider (the H&amp;M competition files) supplies the three CSV tables. The Gemini service receives an aggregated summary and a question and returns an explanation</w:t>
      </w:r>
      <w:r>
        <w:rPr>
          <w:rFonts w:cs="Times New Roman"/>
        </w:rPr>
        <w:t>; it is optional and the rest of the product works without it.</w:t>
      </w:r>
    </w:p>
    <w:p w:rsidR="00225670" w:rsidRDefault="00422677">
      <w:pPr>
        <w:pStyle w:val="Heading2"/>
      </w:pPr>
      <w:r>
        <w:lastRenderedPageBreak/>
        <w:t>Data flow diagram, level 1</w:t>
      </w:r>
    </w:p>
    <w:p w:rsidR="00225670" w:rsidRDefault="00422677">
      <w:pPr>
        <w:keepNext/>
        <w:spacing w:after="80" w:line="240" w:lineRule="auto"/>
        <w:jc w:val="center"/>
      </w:pPr>
      <w:r>
        <w:rPr>
          <w:noProof/>
        </w:rPr>
        <w:drawing>
          <wp:inline distT="0" distB="0" distL="0" distR="0">
            <wp:extent cx="5303520" cy="3567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567823"/>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seven processes (ingest, aggregate, features, train, adapt, evaluate and forecast, explain) and the data stores.</w:t>
      </w:r>
    </w:p>
    <w:p w:rsidR="00225670" w:rsidRDefault="00422677">
      <w:r>
        <w:rPr>
          <w:rFonts w:cs="Times New Roman"/>
        </w:rPr>
        <w:t>Lev</w:t>
      </w:r>
      <w:r>
        <w:rPr>
          <w:rFonts w:cs="Times New Roman"/>
        </w:rPr>
        <w:t>el 1 splits the product into seven processes. Process 1.0 validates, cleans and merges the uploaded tables into the merged transactions store (D1). Process 2.0 aggregates them into the daily demand table (D2). Process 3.0 builds the feature table (D3). Pro</w:t>
      </w:r>
      <w:r>
        <w:rPr>
          <w:rFonts w:cs="Times New Roman"/>
        </w:rPr>
        <w:t>cess 4.0 splits by date and trains the moving average and XGBoost models, saving the model to D5. Process 5.0 trains the domain classifier and the weighted model on a chosen source and target. Process 6.0 computes metrics, importance and recursive forecast</w:t>
      </w:r>
      <w:r>
        <w:rPr>
          <w:rFonts w:cs="Times New Roman"/>
        </w:rPr>
        <w:t>s from D3 and D5. Process 7.0 builds the aggregated context for the Gemini explanation. The results store (D4) holds the metric dictionaries shown on the evaluation page.</w:t>
      </w:r>
    </w:p>
    <w:p w:rsidR="00225670" w:rsidRDefault="00422677">
      <w:pPr>
        <w:pStyle w:val="Heading2"/>
      </w:pPr>
      <w:r>
        <w:lastRenderedPageBreak/>
        <w:t>Data flow diagram, level 2</w:t>
      </w:r>
    </w:p>
    <w:p w:rsidR="00225670" w:rsidRDefault="00422677">
      <w:pPr>
        <w:keepNext/>
        <w:spacing w:after="80" w:line="240" w:lineRule="auto"/>
        <w:jc w:val="center"/>
      </w:pPr>
      <w:r>
        <w:rPr>
          <w:noProof/>
        </w:rPr>
        <w:drawing>
          <wp:inline distT="0" distB="0" distL="0" distR="0">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182112"/>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the </w:t>
      </w:r>
      <w:r>
        <w:rPr>
          <w:rFonts w:cs="Times New Roman"/>
        </w:rPr>
        <w:t>domain-adaptation process 5.0 expanded into six sub-processes.</w:t>
      </w:r>
    </w:p>
    <w:p w:rsidR="00225670" w:rsidRDefault="00422677">
      <w:r>
        <w:rPr>
          <w:rFonts w:cs="Times New Roman"/>
        </w:rPr>
        <w:t>Process 5.1 splits the feature table into source and target rows by the chosen column and values, and holds out the later half of the target dates as the test set. Process 5.2 trains XGBoost on</w:t>
      </w:r>
      <w:r>
        <w:rPr>
          <w:rFonts w:cs="Times New Roman"/>
        </w:rPr>
        <w:t xml:space="preserve"> source rows only and scores the held-out target rows, giving the before-adaptation metrics. Process 5.3 trains a logistic-regression domain classifier to tell source from target rows (the domain column is excluded from its inputs) and reports its accuracy</w:t>
      </w:r>
      <w:r>
        <w:rPr>
          <w:rFonts w:cs="Times New Roman"/>
        </w:rPr>
        <w:t xml:space="preserve"> and the per-feature shift table. Process 5.4 turns the classifier probabilities into importance weights p/(1-p) clipped at 20. Process 5.5 retrains XGBoost on the source rows with those weights, and process 5.6 scores it on the same target test rows and b</w:t>
      </w:r>
      <w:r>
        <w:rPr>
          <w:rFonts w:cs="Times New Roman"/>
        </w:rPr>
        <w:t>uilds the before-and-after report.</w:t>
      </w:r>
    </w:p>
    <w:p w:rsidR="00225670" w:rsidRDefault="00422677">
      <w:pPr>
        <w:pStyle w:val="Heading2"/>
      </w:pPr>
      <w:r>
        <w:lastRenderedPageBreak/>
        <w:t>UML class diagram</w:t>
      </w:r>
    </w:p>
    <w:p w:rsidR="00225670" w:rsidRDefault="00422677">
      <w:pPr>
        <w:keepNext/>
        <w:spacing w:after="80" w:line="240" w:lineRule="auto"/>
        <w:jc w:val="center"/>
      </w:pPr>
      <w:r>
        <w:rPr>
          <w:noProof/>
        </w:rPr>
        <w:drawing>
          <wp:inline distT="0" distB="0" distL="0" distR="0">
            <wp:extent cx="5303520" cy="4194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4194602"/>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FastAPI application, request models, the shared state, and the src/ modules with their main functions.</w:t>
      </w:r>
    </w:p>
    <w:p w:rsidR="00225670" w:rsidRDefault="00422677">
      <w:r>
        <w:rPr>
          <w:rFonts w:cs="Times New Roman"/>
        </w:rPr>
        <w:t>TrendCast is written mostly as functions</w:t>
      </w:r>
      <w:r>
        <w:rPr>
          <w:rFonts w:cs="Times New Roman"/>
        </w:rPr>
        <w:t xml:space="preserve"> grouped in modules, so the diagram shows each module as a class-like box with its main operations. The FastAPI application owns four request models (TrainRequest, DomainRequest, ForecastRequest, AskRequest) and the shared state S with its lock; it calls p</w:t>
      </w:r>
      <w:r>
        <w:rPr>
          <w:rFonts w:cs="Times New Roman"/>
        </w:rPr>
        <w:t>reprocessing, demand_forecasting, feature_engineering, baseline_models, xgboost_model, domain_adaptation and evaluation. domain_adaptation uses xgboost_model.train_xgboost with a sample_weight argument, which is the only place the two modules meet. gemini_</w:t>
      </w:r>
      <w:r>
        <w:rPr>
          <w:rFonts w:cs="Times New Roman"/>
        </w:rPr>
        <w:t>api builds its prompt with src.gemini_helper and reads the key through state.env.</w:t>
      </w:r>
    </w:p>
    <w:p w:rsidR="00225670" w:rsidRDefault="00422677">
      <w:pPr>
        <w:pStyle w:val="Heading2"/>
      </w:pPr>
      <w:r>
        <w:lastRenderedPageBreak/>
        <w:t>Sequence diagram of the main flow</w:t>
      </w:r>
    </w:p>
    <w:p w:rsidR="00225670" w:rsidRDefault="00422677">
      <w:pPr>
        <w:keepNext/>
        <w:spacing w:after="80" w:line="240" w:lineRule="auto"/>
        <w:jc w:val="center"/>
      </w:pPr>
      <w:r>
        <w:rPr>
          <w:noProof/>
        </w:rPr>
        <w:drawing>
          <wp:inline distT="0" distB="0" distL="0" distR="0">
            <wp:extent cx="5303520" cy="38088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4"/>
                    <a:stretch>
                      <a:fillRect/>
                    </a:stretch>
                  </pic:blipFill>
                  <pic:spPr>
                    <a:xfrm>
                      <a:off x="0" y="0"/>
                      <a:ext cx="5303520" cy="3808892"/>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running domain adaptation from the browser, from the click to the before-and-after re</w:t>
      </w:r>
      <w:r>
        <w:rPr>
          <w:rFonts w:cs="Times New Roman"/>
        </w:rPr>
        <w:t>port.</w:t>
      </w:r>
    </w:p>
    <w:p w:rsidR="00225670" w:rsidRDefault="00422677">
      <w:r>
        <w:rPr>
          <w:rFonts w:cs="Times New Roman"/>
        </w:rPr>
        <w:t>The browser posts the domain column, source and target to /api/domain/run. FastAPI takes the lock, checks that the feature table exists and that the two values differ, and splits the domains. It trains the source XGBoost model, scores the target test</w:t>
      </w:r>
      <w:r>
        <w:rPr>
          <w:rFonts w:cs="Times New Roman"/>
        </w:rPr>
        <w:t xml:space="preserve"> rows, trains the logistic domain classifier, computes the shift table and the clipped weights, trains the weighted model, scores it, saves the adapted model to models/ and returns the report. The React page then draws the shift histogram, the box plot and</w:t>
      </w:r>
      <w:r>
        <w:rPr>
          <w:rFonts w:cs="Times New Roman"/>
        </w:rPr>
        <w:t xml:space="preserve"> the before-and-after cards. The same pattern, with different calls, applies to training and forecasting.</w:t>
      </w:r>
    </w:p>
    <w:p w:rsidR="00225670" w:rsidRDefault="00422677">
      <w:pPr>
        <w:pStyle w:val="Heading2"/>
      </w:pPr>
      <w:r>
        <w:lastRenderedPageBreak/>
        <w:t>Use-case diagram</w:t>
      </w:r>
    </w:p>
    <w:p w:rsidR="00225670" w:rsidRDefault="00422677">
      <w:pPr>
        <w:keepNext/>
        <w:spacing w:after="80" w:line="240" w:lineRule="auto"/>
        <w:jc w:val="center"/>
      </w:pPr>
      <w:r>
        <w:rPr>
          <w:noProof/>
        </w:rPr>
        <w:drawing>
          <wp:inline distT="0" distB="0" distL="0" distR="0">
            <wp:extent cx="5303520" cy="35678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5303520" cy="3567823"/>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the analyst, the optional Gemini service and the developer or evaluator.</w:t>
      </w:r>
    </w:p>
    <w:p w:rsidR="00225670" w:rsidRDefault="00422677">
      <w:r>
        <w:rPr>
          <w:rFonts w:cs="Times New Roman"/>
        </w:rPr>
        <w:t>T</w:t>
      </w:r>
      <w:r>
        <w:rPr>
          <w:rFonts w:cs="Times New Roman"/>
        </w:rPr>
        <w:t>he analyst can upload data, explore it, view the aggregated demand table, build features, train the baseline and XGBoost (with optional tuning), run domain adaptation, review the evaluation, generate a 7, 14 or 30-day forecast and ask for an AI explanation</w:t>
      </w:r>
      <w:r>
        <w:rPr>
          <w:rFonts w:cs="Times New Roman"/>
        </w:rPr>
        <w:t>. Training includes building features, and domain adaptation includes training the source model. The AI explanation extends the evaluation and needs the external Gemini service. The developer or evaluator runs the experiment scripts, the tests and the scre</w:t>
      </w:r>
      <w:r>
        <w:rPr>
          <w:rFonts w:cs="Times New Roman"/>
        </w:rPr>
        <w:t>enshot scripts, which import the same src/ package. There is no sign-in: the product is a single-user tool.</w:t>
      </w:r>
    </w:p>
    <w:p w:rsidR="00225670" w:rsidRDefault="00422677">
      <w:pPr>
        <w:pStyle w:val="Heading2"/>
      </w:pPr>
      <w:r>
        <w:lastRenderedPageBreak/>
        <w:t>Entity-relationship diagram (logical)</w:t>
      </w:r>
    </w:p>
    <w:p w:rsidR="00225670" w:rsidRDefault="00422677">
      <w:pPr>
        <w:keepNext/>
        <w:spacing w:after="80" w:line="240" w:lineRule="auto"/>
        <w:jc w:val="center"/>
      </w:pPr>
      <w:r>
        <w:rPr>
          <w:noProof/>
        </w:rPr>
        <w:drawing>
          <wp:inline distT="0" distB="0" distL="0" distR="0">
            <wp:extent cx="5303520" cy="40499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049961"/>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Logical entity-relationship diagram: TrendCast has no database; the entit</w:t>
      </w:r>
      <w:r>
        <w:rPr>
          <w:rFonts w:cs="Times New Roman"/>
        </w:rPr>
        <w:t>ies are the uploaded tables, derived tables and model files.</w:t>
      </w:r>
    </w:p>
    <w:p w:rsidR="00225670" w:rsidRDefault="00422677">
      <w:r>
        <w:rPr>
          <w:rFonts w:cs="Times New Roman"/>
        </w:rPr>
        <w:t>A transaction row refers to one article and one customer; an article has many transactions. Aggregating transactions by date and article gives one daily-demand row, and each daily-demand row beco</w:t>
      </w:r>
      <w:r>
        <w:rPr>
          <w:rFonts w:cs="Times New Roman"/>
        </w:rPr>
        <w:t>mes one feature row. A training run produces one model file (and a feature-information file), and a domain run produces one adapted model and one result record that compares it with the source model. A forecast is a set of dated rows for one article. No fo</w:t>
      </w:r>
      <w:r>
        <w:rPr>
          <w:rFonts w:cs="Times New Roman"/>
        </w:rPr>
        <w:t>reign keys exist: the relations are columns shared by pandas tables in one process, which is why the diagram is logical. Only the model files survive a restart.</w:t>
      </w:r>
    </w:p>
    <w:p w:rsidR="00225670" w:rsidRDefault="00422677">
      <w:pPr>
        <w:pStyle w:val="Heading2"/>
      </w:pPr>
      <w:r>
        <w:lastRenderedPageBreak/>
        <w:t>Core algorithm flowchart: training and forecasting</w:t>
      </w:r>
    </w:p>
    <w:p w:rsidR="00225670" w:rsidRDefault="00422677">
      <w:pPr>
        <w:keepNext/>
        <w:spacing w:after="80" w:line="240" w:lineRule="auto"/>
        <w:jc w:val="center"/>
      </w:pPr>
      <w:r>
        <w:rPr>
          <w:noProof/>
        </w:rPr>
        <w:drawing>
          <wp:inline distT="0" distB="0" distL="0" distR="0">
            <wp:extent cx="5303520" cy="3664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17"/>
                    <a:stretch>
                      <a:fillRect/>
                    </a:stretch>
                  </pic:blipFill>
                  <pic:spPr>
                    <a:xfrm>
                      <a:off x="0" y="0"/>
                      <a:ext cx="5303520" cy="3664250"/>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w:t>
      </w:r>
      <w:r>
        <w:rPr>
          <w:rFonts w:cs="Times New Roman"/>
        </w:rPr>
        <w:t>art of the core algorithm: from raw transactions to the recursive forecast, with the leakage guards marked.</w:t>
      </w:r>
    </w:p>
    <w:p w:rsidR="00225670" w:rsidRDefault="00422677">
      <w:r>
        <w:rPr>
          <w:rFonts w:cs="Times New Roman"/>
        </w:rPr>
        <w:t>Raw rows are cleaned (dates parsed, null ids, non-positive prices and exact duplicates removed), merged and counted per article per day. Missing day</w:t>
      </w:r>
      <w:r>
        <w:rPr>
          <w:rFonts w:cs="Times New Roman"/>
        </w:rPr>
        <w:t>s between an article's first and last sale are filled with zero. Lag and rolling features are computed from values shifted by one day so the current day never enters its own features. The table is split at the date that leaves 80 percent of the dates for t</w:t>
      </w:r>
      <w:r>
        <w:rPr>
          <w:rFonts w:cs="Times New Roman"/>
        </w:rPr>
        <w:t>raining, the models are fitted and scored on the later 20 percent, and the saved model forecasts ahead recursively: each predicted day is appended to the history that produces the next day's lag and rolling features.</w:t>
      </w:r>
    </w:p>
    <w:p w:rsidR="00225670" w:rsidRDefault="00422677">
      <w:pPr>
        <w:pStyle w:val="Heading2"/>
      </w:pPr>
      <w:r>
        <w:lastRenderedPageBreak/>
        <w:t>Domain-adaptation flowchart</w:t>
      </w:r>
    </w:p>
    <w:p w:rsidR="00225670" w:rsidRDefault="00422677">
      <w:pPr>
        <w:keepNext/>
        <w:spacing w:after="80" w:line="240" w:lineRule="auto"/>
        <w:jc w:val="center"/>
      </w:pPr>
      <w:r>
        <w:rPr>
          <w:noProof/>
        </w:rPr>
        <w:drawing>
          <wp:inline distT="0" distB="0" distL="0" distR="0">
            <wp:extent cx="5303520" cy="3664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omain_adaptation.png"/>
                    <pic:cNvPicPr/>
                  </pic:nvPicPr>
                  <pic:blipFill>
                    <a:blip r:embed="rId18"/>
                    <a:stretch>
                      <a:fillRect/>
                    </a:stretch>
                  </pic:blipFill>
                  <pic:spPr>
                    <a:xfrm>
                      <a:off x="0" y="0"/>
                      <a:ext cx="5303520" cy="3664250"/>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11</w:t>
      </w:r>
      <w:r>
        <w:rPr>
          <w:rFonts w:cs="Times New Roman"/>
        </w:rPr>
        <w:fldChar w:fldCharType="end"/>
      </w:r>
      <w:r>
        <w:rPr>
          <w:rFonts w:cs="Times New Roman"/>
        </w:rPr>
        <w:t>: Flowchart of importance-weighted domain adaptation as implemented in domain_adaptation.py and the /api/domain/run route.</w:t>
      </w:r>
    </w:p>
    <w:p w:rsidR="00225670" w:rsidRDefault="00422677">
      <w:r>
        <w:rPr>
          <w:rFonts w:cs="Times New Roman"/>
        </w:rPr>
        <w:t>After the source and target rows are separated and the later half of the target dates is held out for testin</w:t>
      </w:r>
      <w:r>
        <w:rPr>
          <w:rFonts w:cs="Times New Roman"/>
        </w:rPr>
        <w:t>g, a source-only XGBoost model gives the before-adaptation metrics. A logistic regression then separates source from target rows using the same features without the domain column; its probability p for each source row becomes the weight p/(1-p), clipped at</w:t>
      </w:r>
      <w:r>
        <w:rPr>
          <w:rFonts w:cs="Times New Roman"/>
        </w:rPr>
        <w:t xml:space="preserve"> 20. XGBoost is retrained on the source rows with those weights and scored on the same held-out target rows. The after-versus-before change is reported as it is, whether positive or negative.</w:t>
      </w:r>
    </w:p>
    <w:p w:rsidR="00225670" w:rsidRDefault="00422677">
      <w:pPr>
        <w:pStyle w:val="Heading2"/>
      </w:pPr>
      <w:r>
        <w:lastRenderedPageBreak/>
        <w:t>Model and feature architecture</w:t>
      </w:r>
    </w:p>
    <w:p w:rsidR="00225670" w:rsidRDefault="00422677">
      <w:pPr>
        <w:keepNext/>
        <w:spacing w:after="80" w:line="240" w:lineRule="auto"/>
        <w:jc w:val="center"/>
      </w:pPr>
      <w:r>
        <w:rPr>
          <w:noProof/>
        </w:rPr>
        <w:drawing>
          <wp:inline distT="0" distB="0" distL="0" distR="0">
            <wp:extent cx="5303520" cy="30856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19"/>
                    <a:stretch>
                      <a:fillRect/>
                    </a:stretch>
                  </pic:blipFill>
                  <pic:spPr>
                    <a:xfrm>
                      <a:off x="0" y="0"/>
                      <a:ext cx="5303520" cy="3085684"/>
                    </a:xfrm>
                    <a:prstGeom prst="rect">
                      <a:avLst/>
                    </a:prstGeom>
                  </pic:spPr>
                </pic:pic>
              </a:graphicData>
            </a:graphic>
          </wp:inline>
        </w:drawing>
      </w:r>
    </w:p>
    <w:p w:rsidR="00225670" w:rsidRDefault="0042267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Model architecture: 31 input features in four groups feeding one XGBoost regressor, with the baselines and the weighted variant.</w:t>
      </w:r>
    </w:p>
    <w:p w:rsidR="00225670" w:rsidRDefault="00422677">
      <w:r>
        <w:rPr>
          <w:rFonts w:cs="Times New Roman"/>
        </w:rPr>
        <w:t>The model input has 31 columns in four groups: price and sales channel, six label-encoded product attributes, fourteen cal</w:t>
      </w:r>
      <w:r>
        <w:rPr>
          <w:rFonts w:cs="Times New Roman"/>
        </w:rPr>
        <w:t>endar features (including sine and cosine encodings of month and weekday) and nine lag and rolling features. One XGBoost regressor of 300 trees and depth 8 (or the tuned variant) predicts units sold for the article-day. The moving average is the baseline i</w:t>
      </w:r>
      <w:r>
        <w:rPr>
          <w:rFonts w:cs="Times New Roman"/>
        </w:rPr>
        <w:t>nside the product; the weighted variant adds only a per-row sample weight from the domain classifier.</w:t>
      </w:r>
    </w:p>
    <w:sectPr w:rsidR="00225670"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422677">
      <w:pPr>
        <w:spacing w:after="0" w:line="240" w:lineRule="auto"/>
      </w:pPr>
      <w:r>
        <w:separator/>
      </w:r>
    </w:p>
  </w:endnote>
  <w:endnote w:type="continuationSeparator" w:id="0">
    <w:p w:rsidR="00000000" w:rsidRDefault="00422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5670" w:rsidRDefault="0042267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422677">
      <w:pPr>
        <w:spacing w:after="0" w:line="240" w:lineRule="auto"/>
      </w:pPr>
      <w:r>
        <w:separator/>
      </w:r>
    </w:p>
  </w:footnote>
  <w:footnote w:type="continuationSeparator" w:id="0">
    <w:p w:rsidR="00000000" w:rsidRDefault="00422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5670" w:rsidRDefault="00422677">
    <w:pPr>
      <w:pStyle w:val="Header"/>
      <w:jc w:val="center"/>
    </w:pPr>
    <w:r>
      <w:rPr>
        <w:rFonts w:cs="Times New Roman"/>
        <w:i/>
        <w:color w:val="555555"/>
        <w:sz w:val="20"/>
      </w:rPr>
      <w:t>TrendCast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670"/>
    <w:rsid w:val="0029639D"/>
    <w:rsid w:val="00326F90"/>
    <w:rsid w:val="004226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F8DBA34A-0933-405E-9CC7-F39EB4172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422677"/>
    <w:pPr>
      <w:spacing w:after="0" w:line="240" w:lineRule="auto"/>
    </w:pPr>
    <w:rPr>
      <w:rFonts w:cs="Times New Roman"/>
      <w:sz w:val="21"/>
    </w:rPr>
  </w:style>
  <w:style w:type="paragraph" w:styleId="TOC2">
    <w:name w:val="toc 2"/>
    <w:basedOn w:val="Normal"/>
    <w:next w:val="Normal"/>
    <w:autoRedefine/>
    <w:uiPriority w:val="39"/>
    <w:semiHidden/>
    <w:unhideWhenUsed/>
    <w:rsid w:val="00422677"/>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422677"/>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6C96F-2F6A-474B-BB46-733CCFB22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1744</Words>
  <Characters>9916</Characters>
  <Application>Microsoft Office Word</Application>
  <DocSecurity>0</DocSecurity>
  <Lines>220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2026-10-26T07:33:00Z</dcterms:modified>
  <cp:category/>
</cp:coreProperties>
</file>